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1CD3" w14:textId="77777777" w:rsidR="000537DA" w:rsidRDefault="000537DA" w:rsidP="21B456D9">
      <w:pPr>
        <w:framePr w:w="6926" w:hSpace="187" w:wrap="notBeside" w:vAnchor="page" w:hAnchor="page" w:x="2884" w:y="711"/>
        <w:jc w:val="center"/>
        <w:rPr>
          <w:rFonts w:ascii="Arial" w:hAnsi="Arial"/>
          <w:sz w:val="36"/>
          <w:szCs w:val="36"/>
        </w:rPr>
      </w:pPr>
      <w:r w:rsidRPr="21B456D9">
        <w:rPr>
          <w:rFonts w:ascii="Arial" w:hAnsi="Arial"/>
          <w:sz w:val="36"/>
          <w:szCs w:val="36"/>
        </w:rPr>
        <w:t>The Commonwealth of Massachusetts</w:t>
      </w:r>
    </w:p>
    <w:p w14:paraId="52157F53" w14:textId="77777777" w:rsidR="000537DA" w:rsidRDefault="000537DA" w:rsidP="000F315B">
      <w:pPr>
        <w:pStyle w:val="ExecOffice"/>
        <w:framePr w:w="6926" w:wrap="notBeside" w:vAnchor="page" w:x="2884" w:y="711"/>
      </w:pPr>
      <w:r>
        <w:t>Executive Office of Health and Human Services</w:t>
      </w:r>
    </w:p>
    <w:p w14:paraId="1DC28798" w14:textId="77777777" w:rsidR="000537DA" w:rsidRDefault="000537DA" w:rsidP="000F315B">
      <w:pPr>
        <w:pStyle w:val="ExecOffice"/>
        <w:framePr w:w="6926" w:wrap="notBeside" w:vAnchor="page" w:x="2884" w:y="711"/>
      </w:pPr>
      <w:r>
        <w:t>Department of Public Health</w:t>
      </w:r>
    </w:p>
    <w:p w14:paraId="3255574B" w14:textId="77777777" w:rsidR="005E7CC2" w:rsidRPr="00115975" w:rsidRDefault="005E7CC2" w:rsidP="005E7CC2">
      <w:pPr>
        <w:pStyle w:val="ExecOffice"/>
        <w:framePr w:w="6926" w:wrap="notBeside" w:vAnchor="page" w:x="2884" w:y="711"/>
      </w:pPr>
      <w:r w:rsidRPr="00115975">
        <w:t xml:space="preserve">Bureau of Health Care Safety and Quality </w:t>
      </w:r>
    </w:p>
    <w:p w14:paraId="0F0293E4" w14:textId="77777777" w:rsidR="005E7CC2" w:rsidRPr="00115975" w:rsidRDefault="005E7CC2" w:rsidP="005E7CC2">
      <w:pPr>
        <w:pStyle w:val="ExecOffice"/>
        <w:framePr w:w="6926" w:wrap="notBeside" w:vAnchor="page" w:x="2884" w:y="711"/>
      </w:pPr>
      <w:r w:rsidRPr="00115975">
        <w:t>67 Forest Street, Marlborough, MA 01752</w:t>
      </w:r>
    </w:p>
    <w:p w14:paraId="711A7D7C" w14:textId="0055E0FD" w:rsidR="00BA4055" w:rsidRDefault="00E73536" w:rsidP="00BA4055">
      <w:pPr>
        <w:framePr w:w="1927" w:hSpace="180" w:wrap="auto" w:vAnchor="text" w:hAnchor="page" w:x="940" w:y="-951"/>
        <w:rPr>
          <w:rFonts w:ascii="LinePrinter" w:hAnsi="LinePrinter"/>
        </w:rPr>
      </w:pPr>
      <w:r>
        <w:rPr>
          <w:rFonts w:ascii="LinePrinter" w:hAnsi="LinePrinter"/>
          <w:noProof/>
        </w:rPr>
        <w:drawing>
          <wp:inline distT="0" distB="0" distL="0" distR="0" wp14:anchorId="39ABF4FD" wp14:editId="545FF564">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204D048C" w14:textId="0840074A" w:rsidR="009908FF" w:rsidRDefault="005B021F" w:rsidP="0072610D">
      <w:r>
        <w:rPr>
          <w:noProof/>
        </w:rPr>
        <mc:AlternateContent>
          <mc:Choice Requires="wps">
            <w:drawing>
              <wp:anchor distT="0" distB="0" distL="114300" distR="114300" simplePos="0" relativeHeight="251660288" behindDoc="0" locked="0" layoutInCell="1" allowOverlap="1" wp14:anchorId="7C1E628B" wp14:editId="1B6460C0">
                <wp:simplePos x="0" y="0"/>
                <wp:positionH relativeFrom="margin">
                  <wp:align>right</wp:align>
                </wp:positionH>
                <wp:positionV relativeFrom="paragraph">
                  <wp:posOffset>631825</wp:posOffset>
                </wp:positionV>
                <wp:extent cx="1350645" cy="1053465"/>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12E1C" w14:textId="77777777" w:rsidR="00FC6B42" w:rsidRDefault="00FC6B42" w:rsidP="00FC6B42">
                            <w:pPr>
                              <w:pStyle w:val="Governor"/>
                              <w:spacing w:after="0"/>
                              <w:rPr>
                                <w:sz w:val="16"/>
                              </w:rPr>
                            </w:pPr>
                          </w:p>
                          <w:p w14:paraId="1BF2A6E4" w14:textId="77777777" w:rsidR="00FC6B42" w:rsidRPr="003A7AFC" w:rsidRDefault="00FC6B42" w:rsidP="00FC6B42">
                            <w:pPr>
                              <w:pStyle w:val="Weld"/>
                            </w:pPr>
                            <w:r>
                              <w:t>MARYLOU SUDDERS</w:t>
                            </w:r>
                          </w:p>
                          <w:p w14:paraId="46F92D94" w14:textId="77777777" w:rsidR="00FC6B42" w:rsidRDefault="00FC6B42" w:rsidP="00FC6B42">
                            <w:pPr>
                              <w:pStyle w:val="Governor"/>
                            </w:pPr>
                            <w:r>
                              <w:t>Secretary</w:t>
                            </w:r>
                          </w:p>
                          <w:p w14:paraId="60565BCF"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6C0CF441" w14:textId="77777777" w:rsidR="004813AC" w:rsidRDefault="004813AC" w:rsidP="00FC6B42">
                            <w:pPr>
                              <w:jc w:val="center"/>
                              <w:rPr>
                                <w:rFonts w:ascii="Arial Rounded MT Bold" w:hAnsi="Arial Rounded MT Bold"/>
                                <w:sz w:val="14"/>
                                <w:szCs w:val="14"/>
                              </w:rPr>
                            </w:pPr>
                          </w:p>
                          <w:p w14:paraId="48035C92"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40329BA"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4864927F"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1E628B" id="_x0000_t202" coordsize="21600,21600" o:spt="202" path="m,l,21600r21600,l21600,xe">
                <v:stroke joinstyle="miter"/>
                <v:path gradientshapeok="t" o:connecttype="rect"/>
              </v:shapetype>
              <v:shape id="Text Box 2" o:spid="_x0000_s1026" type="#_x0000_t202" style="position:absolute;margin-left:55.15pt;margin-top:49.75pt;width:106.35pt;height:82.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" stroked="f">
                <v:textbox>
                  <w:txbxContent>
                    <w:p w14:paraId="28212E1C" w14:textId="77777777" w:rsidR="00FC6B42" w:rsidRDefault="00FC6B42" w:rsidP="00FC6B42">
                      <w:pPr>
                        <w:pStyle w:val="Governor"/>
                        <w:spacing w:after="0"/>
                        <w:rPr>
                          <w:sz w:val="16"/>
                        </w:rPr>
                      </w:pPr>
                    </w:p>
                    <w:p w14:paraId="1BF2A6E4" w14:textId="77777777" w:rsidR="00FC6B42" w:rsidRPr="003A7AFC" w:rsidRDefault="00FC6B42" w:rsidP="00FC6B42">
                      <w:pPr>
                        <w:pStyle w:val="Weld"/>
                      </w:pPr>
                      <w:r>
                        <w:t>MARYLOU SUDDERS</w:t>
                      </w:r>
                    </w:p>
                    <w:p w14:paraId="46F92D94" w14:textId="77777777" w:rsidR="00FC6B42" w:rsidRDefault="00FC6B42" w:rsidP="00FC6B42">
                      <w:pPr>
                        <w:pStyle w:val="Governor"/>
                      </w:pPr>
                      <w:r>
                        <w:t>Secretary</w:t>
                      </w:r>
                    </w:p>
                    <w:p w14:paraId="60565BCF"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6C0CF441" w14:textId="77777777" w:rsidR="004813AC" w:rsidRDefault="004813AC" w:rsidP="00FC6B42">
                      <w:pPr>
                        <w:jc w:val="center"/>
                        <w:rPr>
                          <w:rFonts w:ascii="Arial Rounded MT Bold" w:hAnsi="Arial Rounded MT Bold"/>
                          <w:sz w:val="14"/>
                          <w:szCs w:val="14"/>
                        </w:rPr>
                      </w:pPr>
                    </w:p>
                    <w:p w14:paraId="48035C92"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440329BA"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4864927F" w14:textId="77777777" w:rsidR="004813AC" w:rsidRPr="00FC6B42" w:rsidRDefault="004813AC" w:rsidP="00FC6B42">
                      <w:pPr>
                        <w:jc w:val="center"/>
                        <w:rPr>
                          <w:rFonts w:ascii="Arial Rounded MT Bold" w:hAnsi="Arial Rounded MT Bold"/>
                          <w:sz w:val="14"/>
                          <w:szCs w:val="14"/>
                        </w:rPr>
                      </w:pPr>
                    </w:p>
                  </w:txbxContent>
                </v:textbox>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34B758E5" wp14:editId="19D01368">
                <wp:simplePos x="0" y="0"/>
                <wp:positionH relativeFrom="margin">
                  <wp:posOffset>-552450</wp:posOffset>
                </wp:positionH>
                <wp:positionV relativeFrom="paragraph">
                  <wp:posOffset>625475</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3ADB3" w14:textId="77777777" w:rsidR="00FC6B42" w:rsidRDefault="00FC6B42" w:rsidP="00FC6B42">
                            <w:pPr>
                              <w:pStyle w:val="Governor"/>
                              <w:spacing w:after="0"/>
                              <w:rPr>
                                <w:sz w:val="16"/>
                              </w:rPr>
                            </w:pPr>
                          </w:p>
                          <w:p w14:paraId="4C0B8B69" w14:textId="77777777" w:rsidR="00FC6B42" w:rsidRDefault="00FC6B42" w:rsidP="00FC6B42">
                            <w:pPr>
                              <w:pStyle w:val="Governor"/>
                              <w:spacing w:after="0"/>
                              <w:rPr>
                                <w:sz w:val="16"/>
                              </w:rPr>
                            </w:pPr>
                            <w:r>
                              <w:rPr>
                                <w:sz w:val="16"/>
                              </w:rPr>
                              <w:t>CHARLES D. BAKER</w:t>
                            </w:r>
                          </w:p>
                          <w:p w14:paraId="71F01DBF" w14:textId="77777777" w:rsidR="00FC6B42" w:rsidRDefault="00FC6B42" w:rsidP="00FC6B42">
                            <w:pPr>
                              <w:pStyle w:val="Governor"/>
                            </w:pPr>
                            <w:r>
                              <w:t>Governor</w:t>
                            </w:r>
                          </w:p>
                          <w:p w14:paraId="23B22A17" w14:textId="77777777" w:rsidR="00FC6B42" w:rsidRDefault="00FC6B42" w:rsidP="00FC6B42">
                            <w:pPr>
                              <w:pStyle w:val="Governor"/>
                              <w:spacing w:after="0"/>
                              <w:rPr>
                                <w:sz w:val="16"/>
                              </w:rPr>
                            </w:pPr>
                            <w:r>
                              <w:rPr>
                                <w:sz w:val="16"/>
                              </w:rPr>
                              <w:t>KARYN E. POLITO</w:t>
                            </w:r>
                          </w:p>
                          <w:p w14:paraId="05057805"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B758E5" id="_x0000_s1027" type="#_x0000_t202" style="position:absolute;margin-left:-43.5pt;margin-top:49.25pt;width:123.85pt;height:63.15pt;z-index:25165619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" stroked="f">
                <v:textbox style="mso-fit-shape-to-text:t">
                  <w:txbxContent>
                    <w:p w14:paraId="3563ADB3" w14:textId="77777777" w:rsidR="00FC6B42" w:rsidRDefault="00FC6B42" w:rsidP="00FC6B42">
                      <w:pPr>
                        <w:pStyle w:val="Governor"/>
                        <w:spacing w:after="0"/>
                        <w:rPr>
                          <w:sz w:val="16"/>
                        </w:rPr>
                      </w:pPr>
                    </w:p>
                    <w:p w14:paraId="4C0B8B69" w14:textId="77777777" w:rsidR="00FC6B42" w:rsidRDefault="00FC6B42" w:rsidP="00FC6B42">
                      <w:pPr>
                        <w:pStyle w:val="Governor"/>
                        <w:spacing w:after="0"/>
                        <w:rPr>
                          <w:sz w:val="16"/>
                        </w:rPr>
                      </w:pPr>
                      <w:r>
                        <w:rPr>
                          <w:sz w:val="16"/>
                        </w:rPr>
                        <w:t>CHARLES D. BAKER</w:t>
                      </w:r>
                    </w:p>
                    <w:p w14:paraId="71F01DBF" w14:textId="77777777" w:rsidR="00FC6B42" w:rsidRDefault="00FC6B42" w:rsidP="00FC6B42">
                      <w:pPr>
                        <w:pStyle w:val="Governor"/>
                      </w:pPr>
                      <w:r>
                        <w:t>Governor</w:t>
                      </w:r>
                    </w:p>
                    <w:p w14:paraId="23B22A17" w14:textId="77777777" w:rsidR="00FC6B42" w:rsidRDefault="00FC6B42" w:rsidP="00FC6B42">
                      <w:pPr>
                        <w:pStyle w:val="Governor"/>
                        <w:spacing w:after="0"/>
                        <w:rPr>
                          <w:sz w:val="16"/>
                        </w:rPr>
                      </w:pPr>
                      <w:r>
                        <w:rPr>
                          <w:sz w:val="16"/>
                        </w:rPr>
                        <w:t>KARYN E. POLITO</w:t>
                      </w:r>
                    </w:p>
                    <w:p w14:paraId="05057805" w14:textId="77777777" w:rsidR="00FC6B42" w:rsidRDefault="00FC6B42" w:rsidP="00FC6B42">
                      <w:pPr>
                        <w:pStyle w:val="Governor"/>
                      </w:pPr>
                      <w:r>
                        <w:t>Lieutenant Governor</w:t>
                      </w:r>
                    </w:p>
                  </w:txbxContent>
                </v:textbox>
                <w10:wrap anchorx="margin"/>
              </v:shape>
            </w:pict>
          </mc:Fallback>
        </mc:AlternateContent>
      </w:r>
    </w:p>
    <w:p w14:paraId="45B42422" w14:textId="5E828989" w:rsidR="00FC6B42" w:rsidRDefault="00FC6B42" w:rsidP="0072610D"/>
    <w:p w14:paraId="2ADB0BD0" w14:textId="77777777" w:rsidR="00FC6B42" w:rsidRDefault="00FC6B42" w:rsidP="0072610D"/>
    <w:p w14:paraId="3060EDC6" w14:textId="77777777" w:rsidR="00033154" w:rsidRDefault="00033154" w:rsidP="0072610D"/>
    <w:p w14:paraId="118E9C26" w14:textId="77777777" w:rsidR="00033154" w:rsidRDefault="00033154" w:rsidP="0072610D"/>
    <w:p w14:paraId="270921C4" w14:textId="77777777" w:rsidR="003D1946" w:rsidRPr="003D1946" w:rsidRDefault="003D1946" w:rsidP="003D1946"/>
    <w:p w14:paraId="24612C61" w14:textId="77777777" w:rsidR="003D1946" w:rsidRPr="003D1946" w:rsidRDefault="003D1946" w:rsidP="003D1946"/>
    <w:p w14:paraId="3EF0465A" w14:textId="77777777" w:rsidR="003D1946" w:rsidRPr="003D1946" w:rsidRDefault="003D1946" w:rsidP="003D1946">
      <w:pPr>
        <w:jc w:val="center"/>
      </w:pPr>
      <w:r w:rsidRPr="003D1946">
        <w:rPr>
          <w:b/>
        </w:rPr>
        <w:t>Memorandum</w:t>
      </w:r>
    </w:p>
    <w:p w14:paraId="22C7BE9E" w14:textId="77777777" w:rsidR="003D1946" w:rsidRPr="003D1946" w:rsidRDefault="003D1946" w:rsidP="003D1946">
      <w:pPr>
        <w:autoSpaceDE w:val="0"/>
        <w:autoSpaceDN w:val="0"/>
        <w:adjustRightInd w:val="0"/>
        <w:rPr>
          <w:rFonts w:eastAsia="@Batang"/>
        </w:rPr>
      </w:pPr>
    </w:p>
    <w:p w14:paraId="63E877A8" w14:textId="4BD892C0" w:rsidR="00D35450" w:rsidRDefault="003D1946" w:rsidP="00D35450">
      <w:pPr>
        <w:autoSpaceDE w:val="0"/>
        <w:autoSpaceDN w:val="0"/>
        <w:adjustRightInd w:val="0"/>
        <w:rPr>
          <w:rFonts w:eastAsia="@Batang"/>
        </w:rPr>
      </w:pPr>
      <w:r w:rsidRPr="21B456D9">
        <w:rPr>
          <w:rFonts w:eastAsia="@Batang"/>
          <w:b/>
          <w:bCs/>
        </w:rPr>
        <w:t>TO:</w:t>
      </w:r>
      <w:r>
        <w:tab/>
      </w:r>
      <w:r>
        <w:tab/>
      </w:r>
      <w:r w:rsidR="00D35450" w:rsidRPr="21B456D9">
        <w:rPr>
          <w:rFonts w:eastAsia="@Batang"/>
        </w:rPr>
        <w:t>Long-Term Care Facility Administrators</w:t>
      </w:r>
    </w:p>
    <w:p w14:paraId="22F810EF" w14:textId="77777777" w:rsidR="002933A6" w:rsidRDefault="002933A6" w:rsidP="005B021F">
      <w:pPr>
        <w:autoSpaceDE w:val="0"/>
        <w:autoSpaceDN w:val="0"/>
        <w:adjustRightInd w:val="0"/>
        <w:rPr>
          <w:rFonts w:eastAsia="@Batang"/>
          <w:b/>
        </w:rPr>
      </w:pPr>
    </w:p>
    <w:p w14:paraId="077C6B66" w14:textId="4FCDBDD2" w:rsidR="00D35450" w:rsidRPr="003D1946" w:rsidRDefault="003D1946" w:rsidP="005B021F">
      <w:pPr>
        <w:autoSpaceDE w:val="0"/>
        <w:autoSpaceDN w:val="0"/>
        <w:adjustRightInd w:val="0"/>
        <w:rPr>
          <w:rFonts w:eastAsia="@Batang"/>
        </w:rPr>
      </w:pPr>
      <w:r w:rsidRPr="003D1946">
        <w:rPr>
          <w:rFonts w:eastAsia="@Batang"/>
          <w:b/>
        </w:rPr>
        <w:t>FROM:</w:t>
      </w:r>
      <w:r w:rsidRPr="003D1946">
        <w:rPr>
          <w:rFonts w:eastAsia="@Batang"/>
        </w:rPr>
        <w:t xml:space="preserve">          </w:t>
      </w:r>
      <w:r w:rsidRPr="003D1946">
        <w:rPr>
          <w:rFonts w:eastAsia="@Batang"/>
        </w:rPr>
        <w:tab/>
      </w:r>
      <w:r w:rsidR="00D35450" w:rsidRPr="003D1946">
        <w:rPr>
          <w:rFonts w:eastAsia="@Batang"/>
        </w:rPr>
        <w:t>Elizabeth Kelley, MPH, MBA, Director</w:t>
      </w:r>
      <w:r w:rsidR="00D35450" w:rsidRPr="003D1946">
        <w:t xml:space="preserve"> </w:t>
      </w:r>
    </w:p>
    <w:p w14:paraId="4B30DE3A" w14:textId="77777777" w:rsidR="00D35450" w:rsidRPr="003D1946" w:rsidRDefault="00D35450" w:rsidP="00D35450">
      <w:pPr>
        <w:autoSpaceDE w:val="0"/>
        <w:autoSpaceDN w:val="0"/>
        <w:adjustRightInd w:val="0"/>
        <w:ind w:left="720" w:firstLine="720"/>
        <w:rPr>
          <w:rFonts w:eastAsia="@Batang"/>
        </w:rPr>
      </w:pPr>
      <w:r w:rsidRPr="003D1946">
        <w:rPr>
          <w:rFonts w:eastAsia="@Batang"/>
        </w:rPr>
        <w:t>Bureau of Health Care Safety and Quality</w:t>
      </w:r>
      <w:r w:rsidRPr="003D1946">
        <w:rPr>
          <w:rFonts w:eastAsia="@Batang"/>
        </w:rPr>
        <w:tab/>
      </w:r>
    </w:p>
    <w:p w14:paraId="3B9974F8" w14:textId="77777777" w:rsidR="002933A6" w:rsidRDefault="002933A6" w:rsidP="005B021F">
      <w:pPr>
        <w:autoSpaceDE w:val="0"/>
        <w:autoSpaceDN w:val="0"/>
        <w:adjustRightInd w:val="0"/>
        <w:ind w:left="1440" w:hanging="1440"/>
        <w:rPr>
          <w:rFonts w:eastAsia="@Batang"/>
          <w:b/>
        </w:rPr>
      </w:pPr>
    </w:p>
    <w:p w14:paraId="41770C8E" w14:textId="21AE6D07" w:rsidR="003D1946" w:rsidRPr="003D1946" w:rsidRDefault="003D1946" w:rsidP="005B021F">
      <w:pPr>
        <w:autoSpaceDE w:val="0"/>
        <w:autoSpaceDN w:val="0"/>
        <w:adjustRightInd w:val="0"/>
        <w:ind w:left="1440" w:hanging="1440"/>
      </w:pPr>
      <w:r w:rsidRPr="003D1946">
        <w:rPr>
          <w:rFonts w:eastAsia="@Batang"/>
          <w:b/>
        </w:rPr>
        <w:t>SUBJECT:</w:t>
      </w:r>
      <w:r w:rsidRPr="003D1946">
        <w:rPr>
          <w:rFonts w:eastAsia="@Batang"/>
        </w:rPr>
        <w:t xml:space="preserve">   </w:t>
      </w:r>
      <w:r w:rsidR="005B021F">
        <w:rPr>
          <w:rFonts w:eastAsia="@Batang"/>
        </w:rPr>
        <w:tab/>
      </w:r>
      <w:r w:rsidR="00D35450" w:rsidRPr="00D35450">
        <w:rPr>
          <w:rFonts w:eastAsia="@Batang"/>
        </w:rPr>
        <w:t xml:space="preserve">Admission of Residents on Medication for Opioid Use Disorder </w:t>
      </w:r>
      <w:r w:rsidR="00AB2056">
        <w:rPr>
          <w:rFonts w:eastAsia="@Batang"/>
        </w:rPr>
        <w:t xml:space="preserve">(MOUD) </w:t>
      </w:r>
      <w:r w:rsidR="00D35450" w:rsidRPr="00D35450">
        <w:rPr>
          <w:rFonts w:eastAsia="@Batang"/>
        </w:rPr>
        <w:t>to Long-Term Care Facilities</w:t>
      </w:r>
    </w:p>
    <w:p w14:paraId="7069DC95" w14:textId="77777777" w:rsidR="002933A6" w:rsidRDefault="002933A6" w:rsidP="003D1946">
      <w:pPr>
        <w:autoSpaceDE w:val="0"/>
        <w:autoSpaceDN w:val="0"/>
        <w:adjustRightInd w:val="0"/>
        <w:rPr>
          <w:rFonts w:eastAsia="@Batang"/>
          <w:b/>
        </w:rPr>
      </w:pPr>
    </w:p>
    <w:p w14:paraId="47A07A8B" w14:textId="249E853B" w:rsidR="003D1946" w:rsidRPr="003D1946" w:rsidRDefault="003D1946" w:rsidP="003D1946">
      <w:pPr>
        <w:autoSpaceDE w:val="0"/>
        <w:autoSpaceDN w:val="0"/>
        <w:adjustRightInd w:val="0"/>
        <w:rPr>
          <w:rFonts w:eastAsia="@Batang"/>
        </w:rPr>
      </w:pPr>
      <w:r w:rsidRPr="003D1946">
        <w:rPr>
          <w:rFonts w:eastAsia="@Batang"/>
          <w:b/>
        </w:rPr>
        <w:t>DATE:</w:t>
      </w:r>
      <w:r w:rsidRPr="003D1946">
        <w:rPr>
          <w:rFonts w:eastAsia="@Batang"/>
          <w:b/>
        </w:rPr>
        <w:tab/>
      </w:r>
      <w:r w:rsidR="009A77F7" w:rsidRPr="009A77F7">
        <w:rPr>
          <w:rFonts w:eastAsia="@Batang"/>
          <w:bCs/>
        </w:rPr>
        <w:t xml:space="preserve">September </w:t>
      </w:r>
      <w:r w:rsidR="005B021F">
        <w:rPr>
          <w:rFonts w:eastAsia="@Batang"/>
          <w:bCs/>
        </w:rPr>
        <w:t>12</w:t>
      </w:r>
      <w:r w:rsidR="009A77F7" w:rsidRPr="009A77F7">
        <w:rPr>
          <w:rFonts w:eastAsia="@Batang"/>
          <w:bCs/>
        </w:rPr>
        <w:t>, 2022</w:t>
      </w:r>
    </w:p>
    <w:p w14:paraId="7289FE16" w14:textId="77777777" w:rsidR="003D1946" w:rsidRPr="003D1946" w:rsidRDefault="003D1946" w:rsidP="003D1946">
      <w:pPr>
        <w:autoSpaceDE w:val="0"/>
        <w:autoSpaceDN w:val="0"/>
        <w:adjustRightInd w:val="0"/>
      </w:pPr>
    </w:p>
    <w:p w14:paraId="32E578CC" w14:textId="77777777" w:rsidR="00D35450" w:rsidRPr="005C1C34" w:rsidRDefault="00D35450" w:rsidP="00D35450">
      <w:pPr>
        <w:pStyle w:val="Heading2"/>
        <w:spacing w:before="0" w:beforeAutospacing="0"/>
        <w:rPr>
          <w:color w:val="141414"/>
          <w:sz w:val="24"/>
          <w:szCs w:val="24"/>
        </w:rPr>
      </w:pPr>
      <w:r w:rsidRPr="005C1C34">
        <w:rPr>
          <w:color w:val="141414"/>
          <w:sz w:val="24"/>
          <w:szCs w:val="24"/>
        </w:rPr>
        <w:t>Purpose</w:t>
      </w:r>
    </w:p>
    <w:p w14:paraId="2857E5AE" w14:textId="48274318" w:rsidR="00D237D1" w:rsidRPr="00D237D1" w:rsidRDefault="00D35450" w:rsidP="00D237D1">
      <w:pPr>
        <w:pStyle w:val="NormalWeb"/>
      </w:pPr>
      <w:r>
        <w:t xml:space="preserve">The purpose of this </w:t>
      </w:r>
      <w:r w:rsidR="004D6D8C">
        <w:t>memorandum</w:t>
      </w:r>
      <w:r>
        <w:t xml:space="preserve"> is to provide guidance for long-term care facilities (LTCF) </w:t>
      </w:r>
      <w:r w:rsidR="00D237D1">
        <w:t>about</w:t>
      </w:r>
      <w:r>
        <w:t xml:space="preserve"> </w:t>
      </w:r>
      <w:r w:rsidR="004D6D8C">
        <w:t>caring for</w:t>
      </w:r>
      <w:r>
        <w:t xml:space="preserve"> residents who require </w:t>
      </w:r>
      <w:r w:rsidR="002D2C2B">
        <w:t xml:space="preserve">long-term </w:t>
      </w:r>
      <w:r>
        <w:t xml:space="preserve">care and who are also being treated for opioid use disorder with medication </w:t>
      </w:r>
      <w:r w:rsidR="00E33FC9">
        <w:t>for opioid use disorder</w:t>
      </w:r>
      <w:r>
        <w:t xml:space="preserve"> (</w:t>
      </w:r>
      <w:r w:rsidR="00E33FC9">
        <w:t>MOUD</w:t>
      </w:r>
      <w:r>
        <w:t>)</w:t>
      </w:r>
      <w:r w:rsidR="00111E64">
        <w:t xml:space="preserve"> to ensure residents receive </w:t>
      </w:r>
      <w:r w:rsidR="00873C48">
        <w:t xml:space="preserve">safe, </w:t>
      </w:r>
      <w:r w:rsidR="00111E64">
        <w:t>evidence-based care</w:t>
      </w:r>
      <w:r>
        <w:t>.</w:t>
      </w:r>
      <w:r w:rsidR="00D237D1">
        <w:t xml:space="preserve"> </w:t>
      </w:r>
    </w:p>
    <w:p w14:paraId="2807F1D7" w14:textId="77777777" w:rsidR="00D35450" w:rsidRPr="005C1C34" w:rsidRDefault="00D35450" w:rsidP="00D35450">
      <w:pPr>
        <w:pStyle w:val="Heading2"/>
        <w:spacing w:before="0" w:beforeAutospacing="0"/>
        <w:rPr>
          <w:color w:val="141414"/>
          <w:sz w:val="24"/>
          <w:szCs w:val="24"/>
        </w:rPr>
      </w:pPr>
      <w:r w:rsidRPr="005C1C34">
        <w:rPr>
          <w:color w:val="141414"/>
          <w:sz w:val="24"/>
          <w:szCs w:val="24"/>
        </w:rPr>
        <w:t>Background</w:t>
      </w:r>
    </w:p>
    <w:p w14:paraId="21BA029A" w14:textId="2A916C4A" w:rsidR="00710BB8" w:rsidRPr="005946E5" w:rsidRDefault="00710BB8" w:rsidP="00710BB8">
      <w:pPr>
        <w:pStyle w:val="NormalWeb"/>
        <w:spacing w:before="0" w:beforeAutospacing="0"/>
        <w:rPr>
          <w:color w:val="141414"/>
        </w:rPr>
      </w:pPr>
      <w:r>
        <w:t>Substance use disorder is a treatable illness</w:t>
      </w:r>
      <w:r w:rsidR="002B0477">
        <w:t>, often chronic</w:t>
      </w:r>
      <w:r>
        <w:t xml:space="preserve">. </w:t>
      </w:r>
      <w:r w:rsidRPr="005946E5">
        <w:rPr>
          <w:color w:val="141414"/>
        </w:rPr>
        <w:t xml:space="preserve">People </w:t>
      </w:r>
      <w:r w:rsidR="002B0477">
        <w:rPr>
          <w:color w:val="141414"/>
        </w:rPr>
        <w:t xml:space="preserve">may </w:t>
      </w:r>
      <w:r w:rsidRPr="005946E5">
        <w:rPr>
          <w:color w:val="141414"/>
        </w:rPr>
        <w:t xml:space="preserve">choose different treatments and paths for their </w:t>
      </w:r>
      <w:r w:rsidR="002B0477">
        <w:rPr>
          <w:color w:val="141414"/>
        </w:rPr>
        <w:t xml:space="preserve">treatment and </w:t>
      </w:r>
      <w:r w:rsidRPr="005946E5">
        <w:rPr>
          <w:color w:val="141414"/>
        </w:rPr>
        <w:t>recovery</w:t>
      </w:r>
      <w:r w:rsidR="009A77F7">
        <w:rPr>
          <w:color w:val="141414"/>
        </w:rPr>
        <w:t>.</w:t>
      </w:r>
      <w:r w:rsidRPr="005946E5">
        <w:rPr>
          <w:color w:val="141414"/>
        </w:rPr>
        <w:t xml:space="preserve"> Some people use medication as part of their treatment for addiction, including for opioid use disorder. Medications for opioid use disorder include methadone, buprenorphine, and injectable naltrexone. Treatment with medication can be short-term or long-term (known as maintenance).</w:t>
      </w:r>
    </w:p>
    <w:p w14:paraId="43D26C03" w14:textId="73EBAE5E" w:rsidR="00A5052D" w:rsidRDefault="00F25BF4" w:rsidP="00D61FE9">
      <w:pPr>
        <w:rPr>
          <w:szCs w:val="24"/>
        </w:rPr>
      </w:pPr>
      <w:r>
        <w:t>Individuals</w:t>
      </w:r>
      <w:r w:rsidR="00D35450">
        <w:t xml:space="preserve"> requiring </w:t>
      </w:r>
      <w:r w:rsidR="005D70D2">
        <w:t xml:space="preserve">care in a long-term care facility </w:t>
      </w:r>
      <w:r w:rsidR="007271C5">
        <w:t>(LTCF)</w:t>
      </w:r>
      <w:r w:rsidR="009A77F7">
        <w:t xml:space="preserve"> </w:t>
      </w:r>
      <w:r>
        <w:t xml:space="preserve">may </w:t>
      </w:r>
      <w:r w:rsidR="00D35450">
        <w:t>also re</w:t>
      </w:r>
      <w:r>
        <w:t>quire</w:t>
      </w:r>
      <w:r w:rsidR="00D35450">
        <w:t xml:space="preserve"> treatment for opioid use disorder</w:t>
      </w:r>
      <w:r w:rsidR="00363F4D">
        <w:t xml:space="preserve"> which may include</w:t>
      </w:r>
      <w:r w:rsidR="00D35450">
        <w:t xml:space="preserve"> </w:t>
      </w:r>
      <w:r w:rsidR="00E33FC9">
        <w:t>MOUD</w:t>
      </w:r>
      <w:r w:rsidR="009A77F7">
        <w:t xml:space="preserve"> </w:t>
      </w:r>
      <w:r w:rsidR="00363F4D">
        <w:t xml:space="preserve">such as </w:t>
      </w:r>
      <w:r w:rsidR="00D35450">
        <w:t>methadone</w:t>
      </w:r>
      <w:r w:rsidR="00D458DE">
        <w:rPr>
          <w:rStyle w:val="FootnoteReference"/>
        </w:rPr>
        <w:footnoteReference w:id="1"/>
      </w:r>
      <w:r w:rsidR="00D35450">
        <w:t>, buprenorphine, or naltrexone.</w:t>
      </w:r>
      <w:r w:rsidR="002872E9">
        <w:t xml:space="preserve"> LTCFs are required to provide access to MOUD under 105 CMR 150.003(B) which requires LTCFs to provide care and services to meet the resident’s physical, emotional, </w:t>
      </w:r>
      <w:r w:rsidR="00BE5283">
        <w:t>behavioral,</w:t>
      </w:r>
      <w:r w:rsidR="002872E9">
        <w:t xml:space="preserve"> and social needs.</w:t>
      </w:r>
      <w:r w:rsidR="009A77F7">
        <w:t xml:space="preserve">  </w:t>
      </w:r>
      <w:r w:rsidR="002872E9">
        <w:t>Individuals</w:t>
      </w:r>
      <w:r w:rsidR="00D35450">
        <w:t xml:space="preserve"> eligible for admission to </w:t>
      </w:r>
      <w:r w:rsidR="002872E9">
        <w:t xml:space="preserve">a </w:t>
      </w:r>
      <w:r w:rsidR="00036FD3">
        <w:t>LTCF</w:t>
      </w:r>
      <w:r w:rsidR="002872E9">
        <w:t xml:space="preserve"> </w:t>
      </w:r>
      <w:r w:rsidR="002410ED">
        <w:t>shall</w:t>
      </w:r>
      <w:r w:rsidR="002872E9">
        <w:t xml:space="preserve"> not be denied admission on the basis</w:t>
      </w:r>
      <w:r w:rsidR="00BE5283">
        <w:t xml:space="preserve"> of requiring treatment for opioid use disorder; </w:t>
      </w:r>
      <w:r w:rsidR="00D35450">
        <w:t xml:space="preserve">the facility </w:t>
      </w:r>
      <w:r w:rsidR="00861CB5">
        <w:t>should</w:t>
      </w:r>
      <w:r w:rsidR="00D35450">
        <w:t xml:space="preserve"> admit the resident </w:t>
      </w:r>
      <w:r w:rsidR="00D35450" w:rsidRPr="07313BF8">
        <w:rPr>
          <w:b/>
          <w:bCs/>
        </w:rPr>
        <w:t>and</w:t>
      </w:r>
      <w:r w:rsidR="00D35450">
        <w:t xml:space="preserve"> provide for the </w:t>
      </w:r>
      <w:r w:rsidR="006D4368">
        <w:t xml:space="preserve">access to </w:t>
      </w:r>
      <w:r w:rsidR="00D35450">
        <w:t xml:space="preserve">administration of </w:t>
      </w:r>
      <w:r w:rsidR="00E33FC9">
        <w:t xml:space="preserve">MOUD </w:t>
      </w:r>
      <w:r w:rsidR="00D35450">
        <w:t>as directed by</w:t>
      </w:r>
      <w:r w:rsidR="00AB2056">
        <w:t xml:space="preserve"> </w:t>
      </w:r>
      <w:r w:rsidR="00D35450">
        <w:t xml:space="preserve">the resident’s OTP or </w:t>
      </w:r>
      <w:bookmarkStart w:id="0" w:name="_Hlk110832806"/>
      <w:r w:rsidR="00D35450">
        <w:t>OBOT</w:t>
      </w:r>
      <w:r w:rsidR="00AB2056">
        <w:t>/ OBAT p</w:t>
      </w:r>
      <w:bookmarkEnd w:id="0"/>
      <w:r w:rsidR="00AB2056">
        <w:t xml:space="preserve">rogram, or a prescriber in the </w:t>
      </w:r>
      <w:r w:rsidR="00D35450">
        <w:t xml:space="preserve">LTCF.  </w:t>
      </w:r>
    </w:p>
    <w:p w14:paraId="6D51D2AB" w14:textId="06C940DA" w:rsidR="002D6CD9" w:rsidRPr="002D6CD9" w:rsidRDefault="00410A7B" w:rsidP="002D6CD9">
      <w:pPr>
        <w:spacing w:before="100" w:beforeAutospacing="1"/>
      </w:pPr>
      <w:r w:rsidRPr="002933A6">
        <w:lastRenderedPageBreak/>
        <w:t>Under</w:t>
      </w:r>
      <w:r w:rsidR="002D6CD9" w:rsidRPr="002933A6">
        <w:t xml:space="preserve"> the</w:t>
      </w:r>
      <w:r w:rsidRPr="002933A6">
        <w:t xml:space="preserve"> federal</w:t>
      </w:r>
      <w:r w:rsidR="002D6CD9" w:rsidRPr="002933A6">
        <w:t xml:space="preserve"> Drug Addiction Treatment Act (DATA)</w:t>
      </w:r>
      <w:r w:rsidR="002933A6" w:rsidRPr="002933A6">
        <w:t>,</w:t>
      </w:r>
      <w:r w:rsidR="002D6CD9" w:rsidRPr="002933A6">
        <w:t xml:space="preserve"> qualified physicians</w:t>
      </w:r>
      <w:r w:rsidRPr="002933A6">
        <w:t xml:space="preserve"> are permitted</w:t>
      </w:r>
      <w:r w:rsidR="002D6CD9" w:rsidRPr="002933A6">
        <w:t xml:space="preserve"> to treat narcotic dependence with schedules III-V narcotic-controlled substances that have been approved by the Food and Drug Administration (FDA) for that indication. The legislation waives the requirement for obtaining a separate Drug Enforcement Administration (DEA) registration as a Narcotic Treatment Program (NTP) for qualified physicians administering, dispensing, and prescribing these specific FDA approved controlled substances. Physicians registered with the DEA as practitioners who apply and are qualified pursuant to DATA are issued a waiver (DWP) and will be authorized to conduct maintenance and detoxification treatment using specifically approved schedule III, IV, or V narcotic medications. DATA waivers are granted to qualified physicians, nurse practitioners, and physician assistants.  Please reference this web page for additional</w:t>
      </w:r>
      <w:r w:rsidR="002933A6" w:rsidRPr="002933A6">
        <w:t xml:space="preserve"> </w:t>
      </w:r>
      <w:r w:rsidR="002D6CD9" w:rsidRPr="002933A6">
        <w:t>information</w:t>
      </w:r>
      <w:r w:rsidR="002D6CD9" w:rsidRPr="666B657A">
        <w:rPr>
          <w:color w:val="141414"/>
        </w:rPr>
        <w:t>: </w:t>
      </w:r>
      <w:hyperlink r:id="rId12">
        <w:r w:rsidR="002D6CD9" w:rsidRPr="666B657A">
          <w:rPr>
            <w:rStyle w:val="Hyperlink"/>
            <w:color w:val="14558F"/>
          </w:rPr>
          <w:t>www.deadiversion.usdoj.gov/pubs/docs/SAMHSA_Regulations_275.pdf</w:t>
        </w:r>
      </w:hyperlink>
    </w:p>
    <w:p w14:paraId="038D73A0" w14:textId="77777777" w:rsidR="002D6CD9" w:rsidRDefault="002D6CD9" w:rsidP="00D61FE9">
      <w:pPr>
        <w:rPr>
          <w:szCs w:val="24"/>
        </w:rPr>
      </w:pPr>
    </w:p>
    <w:p w14:paraId="14209C94" w14:textId="5AB0217D" w:rsidR="00B86425" w:rsidRDefault="005D70D2" w:rsidP="00D35450">
      <w:pPr>
        <w:pStyle w:val="NormalWeb"/>
        <w:spacing w:before="0" w:beforeAutospacing="0"/>
      </w:pPr>
      <w:r>
        <w:t>As a re</w:t>
      </w:r>
      <w:r w:rsidR="002D6CD9">
        <w:t>source</w:t>
      </w:r>
      <w:r>
        <w:t xml:space="preserve"> for long-term care facilities, t</w:t>
      </w:r>
      <w:r w:rsidR="00A5052D">
        <w:t xml:space="preserve">he </w:t>
      </w:r>
      <w:hyperlink r:id="rId13" w:history="1">
        <w:r w:rsidR="00A5052D" w:rsidRPr="07313BF8">
          <w:rPr>
            <w:rStyle w:val="Hyperlink"/>
          </w:rPr>
          <w:t>Massachusetts Consultation Service for Treatment of Addiction and Pain</w:t>
        </w:r>
      </w:hyperlink>
      <w:r w:rsidR="00A5052D">
        <w:t xml:space="preserve"> (MCSTAP) is a free consultation service that supports healthcare providers in increasing their capacity for, and comfort in, using evidence-based practices to screen, diagnose, treat, and manage the care of patients in Massachusetts with chronic pain, substance use disorders, or both. Providers may call MCSTAP at 1-833-PAIN-SUD (1-833-724-6783) </w:t>
      </w:r>
      <w:r w:rsidR="00E1054A">
        <w:t>Monday through Friday fro</w:t>
      </w:r>
      <w:r w:rsidR="00410A7B">
        <w:t>m</w:t>
      </w:r>
      <w:r w:rsidR="00E1054A">
        <w:t xml:space="preserve"> 9 am to 5 pm </w:t>
      </w:r>
      <w:r w:rsidR="00A5052D">
        <w:t>for an on-demand physician consultation on safe prescribing and managing care for adult patients with chronic pain, substance use disorders, or both.</w:t>
      </w:r>
    </w:p>
    <w:p w14:paraId="4223987B" w14:textId="6C4588A5" w:rsidR="00D35450" w:rsidRPr="005C1C34" w:rsidRDefault="00AB2056" w:rsidP="00D35450">
      <w:pPr>
        <w:pStyle w:val="Heading2"/>
        <w:spacing w:before="0" w:beforeAutospacing="0"/>
        <w:rPr>
          <w:color w:val="141414"/>
          <w:sz w:val="24"/>
          <w:szCs w:val="24"/>
        </w:rPr>
      </w:pPr>
      <w:r w:rsidRPr="005C1C34">
        <w:rPr>
          <w:color w:val="141414"/>
          <w:sz w:val="24"/>
          <w:szCs w:val="24"/>
        </w:rPr>
        <w:t>Methadone</w:t>
      </w:r>
    </w:p>
    <w:p w14:paraId="6A9D81CB" w14:textId="4F322708" w:rsidR="00A5052D" w:rsidRDefault="00D35450" w:rsidP="07313BF8">
      <w:pPr>
        <w:pStyle w:val="NormalWeb"/>
        <w:spacing w:before="0" w:beforeAutospacing="0"/>
      </w:pPr>
      <w:r>
        <w:t xml:space="preserve">As part of the LTCF admission process, and prior to allowing patients to self-administer any </w:t>
      </w:r>
      <w:r w:rsidR="00863B38">
        <w:t xml:space="preserve">pre-poured </w:t>
      </w:r>
      <w:r>
        <w:t xml:space="preserve">take-home methadone, the LTCF shall review all prescription orders, including the take-home methadone documentation obtained from the OTP, to ensure that </w:t>
      </w:r>
      <w:r w:rsidR="002851D1">
        <w:t xml:space="preserve">other </w:t>
      </w:r>
      <w:r>
        <w:t xml:space="preserve">medications </w:t>
      </w:r>
      <w:r w:rsidR="00AB2056">
        <w:t xml:space="preserve">currently </w:t>
      </w:r>
      <w:r>
        <w:t xml:space="preserve">prescribed are not contraindicated due to interactions </w:t>
      </w:r>
      <w:r w:rsidR="00AB2056">
        <w:t>between</w:t>
      </w:r>
      <w:r w:rsidR="00036FD3">
        <w:t xml:space="preserve"> </w:t>
      </w:r>
      <w:r w:rsidR="00AB2056">
        <w:t xml:space="preserve">methadone and </w:t>
      </w:r>
      <w:r>
        <w:t>the currently prescribed medications for medical conditions.</w:t>
      </w:r>
      <w:r w:rsidR="004C0429">
        <w:t xml:space="preserve"> </w:t>
      </w:r>
    </w:p>
    <w:p w14:paraId="28086C3A" w14:textId="000ADE55" w:rsidR="00D35450" w:rsidRDefault="00D35450" w:rsidP="00D35450">
      <w:pPr>
        <w:pStyle w:val="NormalWeb"/>
        <w:spacing w:before="0" w:beforeAutospacing="0"/>
      </w:pPr>
      <w:r>
        <w:t>The LTCF sh</w:t>
      </w:r>
      <w:r w:rsidR="00A5052D">
        <w:t>ould</w:t>
      </w:r>
      <w:r>
        <w:t xml:space="preserve"> establish a procedure for obtaining </w:t>
      </w:r>
      <w:r w:rsidR="00AD2B39">
        <w:t xml:space="preserve">individually labeled </w:t>
      </w:r>
      <w:r w:rsidR="00E33FC9">
        <w:t xml:space="preserve">pre-poured </w:t>
      </w:r>
      <w:r>
        <w:t xml:space="preserve">take-home methadone doses from the resident’s OTP.  The procedure </w:t>
      </w:r>
      <w:r w:rsidR="008F296C">
        <w:t xml:space="preserve">should </w:t>
      </w:r>
      <w:r>
        <w:t xml:space="preserve">include instructions for transport of the </w:t>
      </w:r>
      <w:r w:rsidR="00D448C1">
        <w:t>medication</w:t>
      </w:r>
      <w:r>
        <w:t>, transfer documentation, and completion of a chain of custody form</w:t>
      </w:r>
      <w:r w:rsidR="00AD2B39">
        <w:t xml:space="preserve"> with the OTP</w:t>
      </w:r>
      <w:r w:rsidR="00036FD3">
        <w:t xml:space="preserve"> </w:t>
      </w:r>
      <w:r w:rsidR="004B7B81">
        <w:t>as well as releases for care coordination between the facilities</w:t>
      </w:r>
      <w:r>
        <w:t>. The</w:t>
      </w:r>
      <w:r w:rsidR="00036FD3">
        <w:t xml:space="preserve"> LTCF</w:t>
      </w:r>
      <w:r w:rsidR="009A77F7">
        <w:t xml:space="preserve"> </w:t>
      </w:r>
      <w:r w:rsidR="008F296C">
        <w:t xml:space="preserve">should </w:t>
      </w:r>
      <w:r>
        <w:t xml:space="preserve">ensure that all take-home methadone doses received from the OTP are properly packaged and labeled.  Once the methadone is in the custody of the LTCF, the facility shall store the </w:t>
      </w:r>
      <w:r w:rsidR="00D448C1">
        <w:t xml:space="preserve">medication </w:t>
      </w:r>
      <w:r>
        <w:t>in a double-locked secure area in the nursing unit</w:t>
      </w:r>
      <w:r w:rsidR="00A454DD">
        <w:t xml:space="preserve"> as required by </w:t>
      </w:r>
      <w:r w:rsidR="00AE2560">
        <w:t>105 CMR 150.008(D)</w:t>
      </w:r>
      <w:r>
        <w:t xml:space="preserve">, administer the </w:t>
      </w:r>
      <w:r w:rsidR="00D448C1">
        <w:t xml:space="preserve">medication </w:t>
      </w:r>
      <w:r>
        <w:t>consistent with Department of Public Health (Department) regulations at 105 CMR 700.000 and 105 CMR 150.008</w:t>
      </w:r>
      <w:r w:rsidR="00D448C1">
        <w:t xml:space="preserve"> </w:t>
      </w:r>
      <w:r>
        <w:t>and applicable federal regulations, and document each administration in the resident’s record</w:t>
      </w:r>
      <w:r w:rsidR="00A454DD">
        <w:t xml:space="preserve"> as required by </w:t>
      </w:r>
      <w:r w:rsidR="00AE2560">
        <w:t>105 CMR 150.008(C)(4)</w:t>
      </w:r>
      <w:r>
        <w:t>.</w:t>
      </w:r>
      <w:r w:rsidR="00D07E0C">
        <w:t xml:space="preserve"> </w:t>
      </w:r>
      <w:r w:rsidR="00B632D6">
        <w:t xml:space="preserve">The LTCF should establish a procedure for </w:t>
      </w:r>
      <w:r w:rsidR="00915B7F">
        <w:t xml:space="preserve">communicating with the OTP regarding the patient’s overall well-being and convey </w:t>
      </w:r>
      <w:r w:rsidR="00CB17BA">
        <w:t>pertinent information to the OTP regarding the patient including any new medication or updates</w:t>
      </w:r>
      <w:r w:rsidR="00E80AC2">
        <w:t xml:space="preserve"> or concerns</w:t>
      </w:r>
      <w:r w:rsidR="00CB17BA">
        <w:t xml:space="preserve"> regarding their health.</w:t>
      </w:r>
      <w:r w:rsidR="00EA3563">
        <w:t xml:space="preserve"> This should also include a procedure for communicating with the OTP </w:t>
      </w:r>
      <w:r w:rsidR="0053267C">
        <w:t>whenever possible, prior to</w:t>
      </w:r>
      <w:r w:rsidR="00EA3563">
        <w:t xml:space="preserve"> the patient </w:t>
      </w:r>
      <w:r w:rsidR="00D55C60">
        <w:t xml:space="preserve">leaving the LTCF or </w:t>
      </w:r>
      <w:r w:rsidR="009A77F7">
        <w:t>upon discharge</w:t>
      </w:r>
      <w:r w:rsidR="00C85ABF">
        <w:t xml:space="preserve"> from the LTCF.</w:t>
      </w:r>
      <w:r w:rsidR="0051248B">
        <w:t xml:space="preserve"> Discussions should include</w:t>
      </w:r>
      <w:r w:rsidR="0053267C">
        <w:t xml:space="preserve"> whether the patient should be provided with </w:t>
      </w:r>
      <w:r w:rsidR="009A77F7">
        <w:t>their methadone</w:t>
      </w:r>
      <w:r w:rsidR="0051248B">
        <w:t xml:space="preserve"> bottles </w:t>
      </w:r>
      <w:r w:rsidR="000965BB">
        <w:t>when</w:t>
      </w:r>
      <w:r w:rsidR="0051248B">
        <w:t xml:space="preserve"> the patient leaves the LTCF.</w:t>
      </w:r>
    </w:p>
    <w:p w14:paraId="662CC1AA" w14:textId="360363E6" w:rsidR="00D35450" w:rsidRDefault="00D35450" w:rsidP="001E0DA6">
      <w:pPr>
        <w:pStyle w:val="NormalWeb"/>
        <w:spacing w:before="0" w:beforeAutospacing="0"/>
      </w:pPr>
      <w:r w:rsidRPr="009A77F7">
        <w:t xml:space="preserve">When residents using methadone </w:t>
      </w:r>
      <w:r w:rsidR="00E33FC9" w:rsidRPr="009A77F7">
        <w:t xml:space="preserve">as </w:t>
      </w:r>
      <w:r w:rsidR="00AB2056" w:rsidRPr="009A77F7">
        <w:t>MOUD</w:t>
      </w:r>
      <w:r w:rsidRPr="009A77F7">
        <w:t xml:space="preserve"> are discharged from the </w:t>
      </w:r>
      <w:r w:rsidR="00E97E1A" w:rsidRPr="009A77F7">
        <w:t>LTCF</w:t>
      </w:r>
      <w:r w:rsidRPr="009A77F7">
        <w:t xml:space="preserve">, </w:t>
      </w:r>
      <w:r w:rsidR="00516B5E" w:rsidRPr="009A77F7">
        <w:t>they</w:t>
      </w:r>
      <w:r w:rsidRPr="009A77F7">
        <w:t xml:space="preserve"> may take remaining methadone doses</w:t>
      </w:r>
      <w:r w:rsidRPr="009A77F7">
        <w:rPr>
          <w:rStyle w:val="Strong"/>
        </w:rPr>
        <w:t> </w:t>
      </w:r>
      <w:r w:rsidRPr="009A77F7">
        <w:t>with them</w:t>
      </w:r>
      <w:r w:rsidR="00516B5E" w:rsidRPr="009A77F7">
        <w:t>, as determined by the OTP’s medical director</w:t>
      </w:r>
      <w:r w:rsidR="004B7B81" w:rsidRPr="009A77F7">
        <w:t>.</w:t>
      </w:r>
      <w:r w:rsidRPr="009A77F7">
        <w:t> </w:t>
      </w:r>
      <w:r w:rsidR="006E128D" w:rsidRPr="009A77F7">
        <w:t xml:space="preserve"> </w:t>
      </w:r>
      <w:r w:rsidR="001E0DA6" w:rsidRPr="009A77F7">
        <w:t xml:space="preserve">In order to ensure </w:t>
      </w:r>
      <w:r w:rsidR="001E0DA6" w:rsidRPr="009A77F7">
        <w:lastRenderedPageBreak/>
        <w:t>continuation of methadone maintenance treatment</w:t>
      </w:r>
      <w:r w:rsidR="007049F4" w:rsidRPr="009A77F7">
        <w:t>, t</w:t>
      </w:r>
      <w:r w:rsidR="00E073EA" w:rsidRPr="009A77F7">
        <w:t xml:space="preserve">he LTCF should </w:t>
      </w:r>
      <w:r w:rsidR="002410ED" w:rsidRPr="009A77F7">
        <w:t>continue</w:t>
      </w:r>
      <w:r w:rsidR="00E073EA" w:rsidRPr="009A77F7">
        <w:t xml:space="preserve"> to </w:t>
      </w:r>
      <w:r w:rsidR="000E4D08" w:rsidRPr="009A77F7">
        <w:t>communicate</w:t>
      </w:r>
      <w:r w:rsidR="00E118B3" w:rsidRPr="009A77F7">
        <w:t xml:space="preserve"> and collaborate</w:t>
      </w:r>
      <w:r w:rsidR="000E4D08" w:rsidRPr="009A77F7">
        <w:t xml:space="preserve"> with the OTP to ensure that the </w:t>
      </w:r>
      <w:r w:rsidR="005E5C56" w:rsidRPr="009A77F7">
        <w:t>resident</w:t>
      </w:r>
      <w:r w:rsidR="000E4D08" w:rsidRPr="009A77F7">
        <w:t xml:space="preserve"> </w:t>
      </w:r>
      <w:r w:rsidR="00BB2079" w:rsidRPr="009A77F7">
        <w:t>is provided with a</w:t>
      </w:r>
      <w:r w:rsidR="00095FD7" w:rsidRPr="009A77F7">
        <w:t xml:space="preserve"> </w:t>
      </w:r>
      <w:r w:rsidR="00BB2079" w:rsidRPr="009A77F7">
        <w:t xml:space="preserve">direct referral back to their OTP </w:t>
      </w:r>
      <w:r w:rsidR="00E118B3" w:rsidRPr="009A77F7">
        <w:t>immediately upon discharge from the LTCF</w:t>
      </w:r>
      <w:r w:rsidR="00BC6DC4" w:rsidRPr="009A77F7">
        <w:t xml:space="preserve"> which may include assistance with </w:t>
      </w:r>
      <w:r w:rsidR="00AD7936" w:rsidRPr="009A77F7">
        <w:t>coordinating transportation</w:t>
      </w:r>
      <w:r w:rsidR="009F6765" w:rsidRPr="009A77F7">
        <w:t>.</w:t>
      </w:r>
      <w:r w:rsidR="00730696" w:rsidRPr="009A77F7">
        <w:t xml:space="preserve">  </w:t>
      </w:r>
      <w:r w:rsidR="00AB2056" w:rsidRPr="009A77F7">
        <w:t>If the resident is not provided with their take-home doses on discharge</w:t>
      </w:r>
      <w:r w:rsidR="002D2C2B" w:rsidRPr="009A77F7">
        <w:t xml:space="preserve"> from the LTCF</w:t>
      </w:r>
      <w:r w:rsidR="00AB2056" w:rsidRPr="009A77F7">
        <w:t>, a “Last Dose Let</w:t>
      </w:r>
      <w:r w:rsidR="00AB2056" w:rsidRPr="001E0DA6">
        <w:t>ter” sh</w:t>
      </w:r>
      <w:r w:rsidR="000B416C" w:rsidRPr="001E0DA6">
        <w:t>all</w:t>
      </w:r>
      <w:r w:rsidR="00AB2056" w:rsidRPr="001E0DA6">
        <w:t xml:space="preserve"> be completed by the </w:t>
      </w:r>
      <w:r w:rsidR="00953306" w:rsidRPr="001E0DA6">
        <w:t>OTP</w:t>
      </w:r>
      <w:r w:rsidR="00AB2056" w:rsidRPr="001E0DA6">
        <w:t xml:space="preserve"> </w:t>
      </w:r>
      <w:r w:rsidR="0053267C" w:rsidRPr="001E0DA6">
        <w:t>and given to the patient. T</w:t>
      </w:r>
      <w:r w:rsidR="00AB2056" w:rsidRPr="001E0DA6">
        <w:t>he chain of custody form sh</w:t>
      </w:r>
      <w:r w:rsidR="000B416C" w:rsidRPr="001E0DA6">
        <w:t>all</w:t>
      </w:r>
      <w:r w:rsidR="00AB2056" w:rsidRPr="001E0DA6">
        <w:t xml:space="preserve"> be completed </w:t>
      </w:r>
      <w:r w:rsidR="002D2C2B" w:rsidRPr="001E0DA6">
        <w:t xml:space="preserve">by the LTCF </w:t>
      </w:r>
      <w:r w:rsidR="00AB2056" w:rsidRPr="001E0DA6">
        <w:t>and faxed to the OTP confirming destruction of unused take-home doses of methadone.</w:t>
      </w:r>
      <w:r w:rsidRPr="001E0DA6">
        <w:t xml:space="preserve"> </w:t>
      </w:r>
      <w:r w:rsidR="00F0455E" w:rsidRPr="001E0DA6">
        <w:t xml:space="preserve">The “Last Dose </w:t>
      </w:r>
      <w:r w:rsidR="00487BA6" w:rsidRPr="001E0DA6">
        <w:t xml:space="preserve">Letter” will assist the patient’s </w:t>
      </w:r>
      <w:r w:rsidR="00FE591E" w:rsidRPr="001E0DA6">
        <w:t>admission process</w:t>
      </w:r>
      <w:r w:rsidR="00487BA6" w:rsidRPr="001E0DA6">
        <w:t xml:space="preserve"> when transferring to a new OTP. </w:t>
      </w:r>
      <w:r w:rsidRPr="001E0DA6">
        <w:t xml:space="preserve">If the resident dies or the medication is discontinued, the LTCF shall </w:t>
      </w:r>
      <w:r w:rsidR="002D6CD9" w:rsidRPr="001E0DA6">
        <w:t xml:space="preserve">dispose of the remaining medication in accordance with Department guidance. </w:t>
      </w:r>
    </w:p>
    <w:p w14:paraId="5E0E735E" w14:textId="2D261BA6" w:rsidR="00D35450" w:rsidRPr="004C0429" w:rsidRDefault="00AB2056" w:rsidP="00D35450">
      <w:pPr>
        <w:pStyle w:val="Heading2"/>
        <w:spacing w:before="0" w:beforeAutospacing="0"/>
        <w:rPr>
          <w:color w:val="141414"/>
          <w:sz w:val="24"/>
          <w:szCs w:val="24"/>
        </w:rPr>
      </w:pPr>
      <w:r w:rsidRPr="004C0429">
        <w:rPr>
          <w:color w:val="141414"/>
          <w:sz w:val="24"/>
          <w:szCs w:val="24"/>
        </w:rPr>
        <w:t>Buprenorphine</w:t>
      </w:r>
    </w:p>
    <w:p w14:paraId="6B6CCA77" w14:textId="61F4EE8C" w:rsidR="00EF316D" w:rsidRDefault="00D35450" w:rsidP="666B657A">
      <w:pPr>
        <w:rPr>
          <w:sz w:val="22"/>
          <w:szCs w:val="22"/>
        </w:rPr>
      </w:pPr>
      <w:r>
        <w:t xml:space="preserve">A resident who is receiving buprenorphine may need to continue this treatment in a LTCF.  The resident shall continue to see a </w:t>
      </w:r>
      <w:r w:rsidR="00861CB5">
        <w:t>prescriber with an X waiver (required if seeing over 30 patients)</w:t>
      </w:r>
      <w:r w:rsidR="009A77F7">
        <w:t xml:space="preserve"> </w:t>
      </w:r>
      <w:r>
        <w:t>for this treatment.  The prescription sh</w:t>
      </w:r>
      <w:r w:rsidR="00145E85">
        <w:t>all</w:t>
      </w:r>
      <w:r>
        <w:t xml:space="preserve"> be reviewed by the</w:t>
      </w:r>
      <w:r w:rsidR="002D2C2B">
        <w:t xml:space="preserve"> resident’s provider</w:t>
      </w:r>
      <w:r>
        <w:t xml:space="preserve"> who </w:t>
      </w:r>
      <w:r w:rsidR="00863B38">
        <w:t xml:space="preserve">must </w:t>
      </w:r>
      <w:r>
        <w:t>be in communication with the</w:t>
      </w:r>
      <w:r w:rsidR="007A1157">
        <w:t xml:space="preserve"> prescriber with an X waiver</w:t>
      </w:r>
      <w:r w:rsidR="00CF6541">
        <w:t xml:space="preserve"> for the purpose of care coordination</w:t>
      </w:r>
      <w:r>
        <w:t>, and can be filled by the pharmacy and administered in the same manner as all other prescription medications.</w:t>
      </w:r>
      <w:r w:rsidR="00E33FC9">
        <w:t xml:space="preserve"> The Department encourages </w:t>
      </w:r>
      <w:r w:rsidR="007A1157">
        <w:t xml:space="preserve">eligible medical providers </w:t>
      </w:r>
      <w:r w:rsidR="0047388B">
        <w:t xml:space="preserve">at </w:t>
      </w:r>
      <w:r w:rsidR="008522FD">
        <w:t xml:space="preserve">LTCFs </w:t>
      </w:r>
      <w:r w:rsidR="00E33FC9">
        <w:t xml:space="preserve">to pursue DATA </w:t>
      </w:r>
      <w:r w:rsidR="007A1157">
        <w:t xml:space="preserve">X </w:t>
      </w:r>
      <w:r w:rsidR="00E33FC9">
        <w:t>waiver training</w:t>
      </w:r>
      <w:r w:rsidR="004C0429">
        <w:t xml:space="preserve">, such as </w:t>
      </w:r>
      <w:r w:rsidR="0039398A">
        <w:t>physicians</w:t>
      </w:r>
      <w:r w:rsidR="004C0429">
        <w:t xml:space="preserve"> and </w:t>
      </w:r>
      <w:r w:rsidR="0039398A">
        <w:t>advanced practice prescribers</w:t>
      </w:r>
      <w:r w:rsidR="00E33FC9">
        <w:t>, which is provided free of charge.</w:t>
      </w:r>
      <w:r w:rsidR="00EF316D">
        <w:t xml:space="preserve"> Please see the following website for additional information: </w:t>
      </w:r>
    </w:p>
    <w:p w14:paraId="47A037F5" w14:textId="77777777" w:rsidR="00EF316D" w:rsidRPr="008F6CE9" w:rsidRDefault="00491086" w:rsidP="008F6CE9">
      <w:pPr>
        <w:rPr>
          <w:color w:val="4472C4"/>
        </w:rPr>
      </w:pPr>
      <w:hyperlink r:id="rId14" w:history="1">
        <w:r w:rsidR="00EF316D" w:rsidRPr="008F6CE9">
          <w:rPr>
            <w:rStyle w:val="Hyperlink"/>
            <w:color w:val="4472C4"/>
          </w:rPr>
          <w:t>https://www.samhsa.gov/medication-assisted-treatment/become-buprenorphine-waivered-practitioner</w:t>
        </w:r>
      </w:hyperlink>
      <w:r w:rsidR="00EF316D" w:rsidRPr="008F6CE9">
        <w:rPr>
          <w:color w:val="4472C4"/>
        </w:rPr>
        <w:t xml:space="preserve"> </w:t>
      </w:r>
    </w:p>
    <w:p w14:paraId="688F8E3D" w14:textId="77777777" w:rsidR="00D35450" w:rsidRDefault="00D35450" w:rsidP="008F6CE9">
      <w:pPr>
        <w:pStyle w:val="NormalWeb"/>
        <w:spacing w:before="0" w:beforeAutospacing="0" w:after="0" w:afterAutospacing="0"/>
      </w:pPr>
    </w:p>
    <w:p w14:paraId="6650AB00" w14:textId="534F2775" w:rsidR="00D35450" w:rsidRDefault="00D35450" w:rsidP="008F6CE9">
      <w:pPr>
        <w:pStyle w:val="NormalWeb"/>
        <w:spacing w:before="0" w:beforeAutospacing="0" w:after="0" w:afterAutospacing="0"/>
      </w:pPr>
      <w:r>
        <w:t xml:space="preserve">For </w:t>
      </w:r>
      <w:r w:rsidR="00145E85">
        <w:t>residents</w:t>
      </w:r>
      <w:r>
        <w:t xml:space="preserve"> receiving buprenorphine through OTPs, the LTCF staff </w:t>
      </w:r>
      <w:r w:rsidR="00145E85">
        <w:t>must</w:t>
      </w:r>
      <w:r>
        <w:t xml:space="preserve"> follow the same </w:t>
      </w:r>
      <w:r w:rsidR="00953306">
        <w:t xml:space="preserve">chain of custody </w:t>
      </w:r>
      <w:r>
        <w:t xml:space="preserve">protocol as described </w:t>
      </w:r>
      <w:r w:rsidR="00145E85">
        <w:t xml:space="preserve">above </w:t>
      </w:r>
      <w:r>
        <w:t xml:space="preserve">for methadone take home </w:t>
      </w:r>
      <w:r w:rsidRPr="00D448C1">
        <w:t>medication</w:t>
      </w:r>
      <w:r w:rsidR="00790647">
        <w:t>.</w:t>
      </w:r>
      <w:r w:rsidR="00953306" w:rsidRPr="00D448C1">
        <w:t xml:space="preserve"> </w:t>
      </w:r>
      <w:r w:rsidR="00953306" w:rsidRPr="008F6CE9">
        <w:t>If the patient has an individual prescription from a DATA waive</w:t>
      </w:r>
      <w:r w:rsidR="00D448C1">
        <w:t>re</w:t>
      </w:r>
      <w:r w:rsidR="00953306" w:rsidRPr="008F6CE9">
        <w:t xml:space="preserve">d </w:t>
      </w:r>
      <w:r w:rsidR="00D448C1" w:rsidRPr="008F6CE9">
        <w:t>prescriber</w:t>
      </w:r>
      <w:r w:rsidR="00953306" w:rsidRPr="008F6CE9">
        <w:t>, the chain of custody protocol is not necessary.</w:t>
      </w:r>
    </w:p>
    <w:p w14:paraId="3FBD0DF8" w14:textId="77777777" w:rsidR="00A3143A" w:rsidRDefault="00A3143A" w:rsidP="008F6CE9">
      <w:pPr>
        <w:pStyle w:val="NormalWeb"/>
        <w:spacing w:before="0" w:beforeAutospacing="0" w:after="0" w:afterAutospacing="0"/>
      </w:pPr>
    </w:p>
    <w:p w14:paraId="52CDBD4E" w14:textId="1C19CB57" w:rsidR="00D35450" w:rsidRPr="004C0429" w:rsidRDefault="00AB2056" w:rsidP="14D6C204">
      <w:pPr>
        <w:pStyle w:val="Heading2"/>
        <w:spacing w:before="0" w:beforeAutospacing="0"/>
        <w:rPr>
          <w:color w:val="141414"/>
          <w:sz w:val="24"/>
          <w:szCs w:val="24"/>
        </w:rPr>
      </w:pPr>
      <w:r w:rsidRPr="14D6C204">
        <w:rPr>
          <w:color w:val="141414"/>
          <w:sz w:val="24"/>
          <w:szCs w:val="24"/>
        </w:rPr>
        <w:t>Extended-Release Injectable Naltrexone</w:t>
      </w:r>
    </w:p>
    <w:p w14:paraId="39E44DDA" w14:textId="249A7F15" w:rsidR="00D35450" w:rsidRDefault="00D35450" w:rsidP="1E64A7E7">
      <w:pPr>
        <w:pStyle w:val="NormalWeb"/>
        <w:spacing w:before="0" w:beforeAutospacing="0"/>
      </w:pPr>
      <w:r>
        <w:t xml:space="preserve">A resident who is receiving injectable naltrexone treatment </w:t>
      </w:r>
      <w:r w:rsidR="00AB2056">
        <w:t xml:space="preserve">from </w:t>
      </w:r>
      <w:r>
        <w:t>a prescrib</w:t>
      </w:r>
      <w:r w:rsidR="00AB2056">
        <w:t xml:space="preserve">er </w:t>
      </w:r>
      <w:r>
        <w:t xml:space="preserve">may </w:t>
      </w:r>
      <w:r w:rsidR="007F73DC">
        <w:t>need</w:t>
      </w:r>
      <w:r>
        <w:t xml:space="preserve"> to continue this treatment in a LTCF.  The resident shall continue to see a </w:t>
      </w:r>
      <w:r w:rsidR="00AB2056">
        <w:t xml:space="preserve">prescriber </w:t>
      </w:r>
      <w:r>
        <w:t>for this treatment.  The prescription sh</w:t>
      </w:r>
      <w:r w:rsidR="007F73DC">
        <w:t>all</w:t>
      </w:r>
      <w:r>
        <w:t xml:space="preserve"> be reviewed by the </w:t>
      </w:r>
      <w:r w:rsidR="002D2C2B">
        <w:t xml:space="preserve">resident’s provider </w:t>
      </w:r>
      <w:r>
        <w:t>and can be filled by the pharmacy and administered in the same manner as all other prescription injectable medications. The injection is generally given once a month and can be given by a health professional who is allowed within his or her licensing scope of practice to give injections.</w:t>
      </w:r>
      <w:r w:rsidR="007F73DC">
        <w:t xml:space="preserve"> N</w:t>
      </w:r>
      <w:r w:rsidR="00AB2056">
        <w:t xml:space="preserve">altrexone is also available as a once daily oral medication for the indication of treating alcohol or an opioid use disorder. </w:t>
      </w:r>
      <w:r w:rsidR="007F73DC">
        <w:t xml:space="preserve">Injectable naltrexone should not be administered to residents </w:t>
      </w:r>
      <w:r w:rsidR="007F73DC" w:rsidRPr="002D6CD9">
        <w:t>dependent on opioids</w:t>
      </w:r>
      <w:r w:rsidR="007F73DC">
        <w:t>. In the event that there is uncertainty regarding a resident’s opioid dependence providers should utilize a challenge dose of naltrexone.</w:t>
      </w:r>
    </w:p>
    <w:p w14:paraId="068B68FC" w14:textId="77777777" w:rsidR="00D35450" w:rsidRPr="004C0429" w:rsidRDefault="00D35450" w:rsidP="00D35450">
      <w:pPr>
        <w:pStyle w:val="Heading2"/>
        <w:spacing w:before="0" w:beforeAutospacing="0"/>
        <w:rPr>
          <w:color w:val="141414"/>
          <w:sz w:val="24"/>
          <w:szCs w:val="24"/>
        </w:rPr>
      </w:pPr>
      <w:r w:rsidRPr="004C0429">
        <w:rPr>
          <w:color w:val="141414"/>
          <w:sz w:val="24"/>
          <w:szCs w:val="24"/>
        </w:rPr>
        <w:t>Use and Storage of Naloxone</w:t>
      </w:r>
    </w:p>
    <w:p w14:paraId="2D473549" w14:textId="1EA9A4A6" w:rsidR="00D35450" w:rsidRDefault="00D35450" w:rsidP="00D35450">
      <w:pPr>
        <w:pStyle w:val="NormalWeb"/>
        <w:spacing w:before="0" w:beforeAutospacing="0"/>
      </w:pPr>
      <w:r>
        <w:t xml:space="preserve">Given the widespread use of opioids in </w:t>
      </w:r>
      <w:r w:rsidR="00410A7B">
        <w:t>LTCFs</w:t>
      </w:r>
      <w:r w:rsidR="001703AC">
        <w:t xml:space="preserve"> </w:t>
      </w:r>
      <w:r w:rsidR="00C50684">
        <w:t>and the surrounding communities</w:t>
      </w:r>
      <w:r>
        <w:t>, naloxone, a schedule VI medication, shall be stored for emergencies pursuant to 105 CMR 150.008(E)</w:t>
      </w:r>
      <w:r w:rsidR="00790647">
        <w:t>.</w:t>
      </w:r>
      <w:r>
        <w:t xml:space="preserve"> Administrators shall meet with the facility's </w:t>
      </w:r>
      <w:r w:rsidR="0045547A">
        <w:t>m</w:t>
      </w:r>
      <w:r>
        <w:t xml:space="preserve">edical </w:t>
      </w:r>
      <w:r w:rsidR="0045547A">
        <w:t>d</w:t>
      </w:r>
      <w:r>
        <w:t xml:space="preserve">irector and </w:t>
      </w:r>
      <w:r w:rsidR="0045547A">
        <w:t>p</w:t>
      </w:r>
      <w:r>
        <w:t>harmacy service to ensure the availability of naloxone in case of an emergency and develop standing orders, pursuant to the attached Department Policy on the Use of Standing Orders for the Use of Naloxone (See Appendix A).</w:t>
      </w:r>
    </w:p>
    <w:p w14:paraId="38122162" w14:textId="2A977549" w:rsidR="0091313C" w:rsidRDefault="0091313C" w:rsidP="00D35450">
      <w:pPr>
        <w:pStyle w:val="NormalWeb"/>
        <w:spacing w:before="0" w:beforeAutospacing="0"/>
      </w:pPr>
      <w:r>
        <w:lastRenderedPageBreak/>
        <w:t xml:space="preserve">Commonly used trade names for buprenorphine/naloxone are Suboxone® and </w:t>
      </w:r>
      <w:proofErr w:type="spellStart"/>
      <w:r>
        <w:t>Zubsolv</w:t>
      </w:r>
      <w:proofErr w:type="spellEnd"/>
      <w:r>
        <w:t xml:space="preserve">®. There is also a long-acting monthly injectable formulation of buprenorphine with the trade name </w:t>
      </w:r>
      <w:proofErr w:type="spellStart"/>
      <w:r>
        <w:t>Sublocade</w:t>
      </w:r>
      <w:proofErr w:type="spellEnd"/>
      <w:r>
        <w:t>®. The commonly used trade name for buprenorphine is Subutex®. The commonly used trade name for injectable naltrexone is Vivitrol®. See SAMHSA’s website for MAT under “Resources” for further information</w:t>
      </w:r>
    </w:p>
    <w:p w14:paraId="1FD3EBAB" w14:textId="77777777" w:rsidR="00D35450" w:rsidRPr="004C0429" w:rsidRDefault="00D35450" w:rsidP="00D35450">
      <w:pPr>
        <w:pStyle w:val="Heading2"/>
        <w:spacing w:before="0" w:beforeAutospacing="0"/>
        <w:rPr>
          <w:color w:val="141414"/>
          <w:sz w:val="24"/>
          <w:szCs w:val="24"/>
        </w:rPr>
      </w:pPr>
      <w:r w:rsidRPr="004C0429">
        <w:rPr>
          <w:color w:val="141414"/>
          <w:sz w:val="24"/>
          <w:szCs w:val="24"/>
        </w:rPr>
        <w:t>Contact Information</w:t>
      </w:r>
    </w:p>
    <w:p w14:paraId="2004B0CD" w14:textId="1AEFB0F1" w:rsidR="00D35450" w:rsidRDefault="00D35450" w:rsidP="00D35450">
      <w:pPr>
        <w:pStyle w:val="NormalWeb"/>
        <w:spacing w:before="0" w:beforeAutospacing="0"/>
      </w:pPr>
      <w:r>
        <w:t xml:space="preserve">For more information, or if you have any questions on this guidance, please contact the Division of </w:t>
      </w:r>
      <w:r w:rsidR="00070A1D">
        <w:t>Quality Improvement</w:t>
      </w:r>
      <w:r>
        <w:t xml:space="preserve"> </w:t>
      </w:r>
      <w:r w:rsidR="00A5052D">
        <w:t xml:space="preserve">within the Bureau of Healthcare Safety and Quality </w:t>
      </w:r>
      <w:r>
        <w:t xml:space="preserve">via email at  </w:t>
      </w:r>
      <w:hyperlink r:id="rId15" w:history="1">
        <w:r w:rsidR="001703AC" w:rsidRPr="008C66FB">
          <w:rPr>
            <w:rStyle w:val="Hyperlink"/>
          </w:rPr>
          <w:t>DPH.BHCSQ@Mass.gov</w:t>
        </w:r>
      </w:hyperlink>
      <w:r w:rsidR="001703AC">
        <w:rPr>
          <w:rStyle w:val="Hyperlink"/>
        </w:rPr>
        <w:t>.</w:t>
      </w:r>
      <w:r w:rsidR="002034AA">
        <w:t xml:space="preserve"> </w:t>
      </w:r>
      <w:r>
        <w:t>Thank you.</w:t>
      </w:r>
    </w:p>
    <w:p w14:paraId="6EFF6C5B" w14:textId="77777777" w:rsidR="00D35450" w:rsidRPr="00FC625A" w:rsidRDefault="00D35450" w:rsidP="00D35450">
      <w:pPr>
        <w:pStyle w:val="Heading2"/>
        <w:spacing w:before="0" w:beforeAutospacing="0"/>
        <w:rPr>
          <w:color w:val="141414"/>
          <w:sz w:val="24"/>
          <w:szCs w:val="24"/>
        </w:rPr>
      </w:pPr>
      <w:r w:rsidRPr="00FC625A">
        <w:rPr>
          <w:color w:val="141414"/>
          <w:sz w:val="24"/>
          <w:szCs w:val="24"/>
        </w:rPr>
        <w:t>Resources</w:t>
      </w:r>
    </w:p>
    <w:p w14:paraId="57ECCEA0" w14:textId="48B56D8B" w:rsidR="00D35450" w:rsidRDefault="00920E72" w:rsidP="00D35450">
      <w:pPr>
        <w:pStyle w:val="NormalWeb"/>
        <w:spacing w:before="0" w:beforeAutospacing="0"/>
      </w:pPr>
      <w:r>
        <w:t>Below are</w:t>
      </w:r>
      <w:r w:rsidR="00D35450">
        <w:t xml:space="preserve"> </w:t>
      </w:r>
      <w:r>
        <w:t xml:space="preserve">links to </w:t>
      </w:r>
      <w:r w:rsidR="00D35450">
        <w:t>training resources:</w:t>
      </w:r>
    </w:p>
    <w:p w14:paraId="32BFBBCC" w14:textId="77777777" w:rsidR="00E33FC9" w:rsidRDefault="00491086" w:rsidP="00D35450">
      <w:pPr>
        <w:numPr>
          <w:ilvl w:val="0"/>
          <w:numId w:val="9"/>
        </w:numPr>
        <w:spacing w:before="100" w:beforeAutospacing="1" w:after="120"/>
      </w:pPr>
      <w:hyperlink r:id="rId16" w:history="1">
        <w:r w:rsidR="00E33FC9" w:rsidRPr="00E33FC9">
          <w:rPr>
            <w:rStyle w:val="Hyperlink"/>
          </w:rPr>
          <w:t>The Care of Residents with Opioid &amp; Stimulant Use Disorders in Long-Term Care Settings Toolkit</w:t>
        </w:r>
      </w:hyperlink>
    </w:p>
    <w:p w14:paraId="568BCCC9" w14:textId="0442D0CE" w:rsidR="00070A1D" w:rsidRPr="009A77F7" w:rsidRDefault="00491086" w:rsidP="00D35450">
      <w:pPr>
        <w:numPr>
          <w:ilvl w:val="0"/>
          <w:numId w:val="9"/>
        </w:numPr>
        <w:spacing w:before="100" w:beforeAutospacing="1" w:after="120"/>
        <w:rPr>
          <w:rStyle w:val="Hyperlink"/>
          <w:color w:val="auto"/>
          <w:u w:val="none"/>
        </w:rPr>
      </w:pPr>
      <w:hyperlink r:id="rId17" w:history="1">
        <w:r w:rsidR="00070A1D" w:rsidRPr="00070A1D">
          <w:rPr>
            <w:rStyle w:val="Hyperlink"/>
          </w:rPr>
          <w:t>Massachusetts Consultation Service for Treatment of Addiction and Pain</w:t>
        </w:r>
      </w:hyperlink>
    </w:p>
    <w:p w14:paraId="12510EAF" w14:textId="605F58B0" w:rsidR="001E0DA6" w:rsidRPr="00241C32" w:rsidRDefault="00241C32" w:rsidP="00D35450">
      <w:pPr>
        <w:numPr>
          <w:ilvl w:val="0"/>
          <w:numId w:val="9"/>
        </w:numPr>
        <w:spacing w:before="100" w:beforeAutospacing="1" w:after="120"/>
        <w:rPr>
          <w:szCs w:val="24"/>
        </w:rPr>
      </w:pPr>
      <w:r w:rsidRPr="009A77F7">
        <w:rPr>
          <w:color w:val="1F497D"/>
          <w:szCs w:val="24"/>
        </w:rPr>
        <w:t>Substance Use Helpline:</w:t>
      </w:r>
      <w:r w:rsidRPr="009A77F7">
        <w:rPr>
          <w:b/>
          <w:bCs/>
          <w:color w:val="1F497D"/>
          <w:szCs w:val="24"/>
          <w:u w:val="single"/>
        </w:rPr>
        <w:t xml:space="preserve"> </w:t>
      </w:r>
      <w:hyperlink r:id="rId18" w:history="1">
        <w:r w:rsidRPr="009A77F7">
          <w:rPr>
            <w:rStyle w:val="Hyperlink"/>
            <w:color w:val="07459A"/>
            <w:szCs w:val="24"/>
          </w:rPr>
          <w:t>https://helplinema.org/</w:t>
        </w:r>
      </w:hyperlink>
    </w:p>
    <w:p w14:paraId="4E27CAD5" w14:textId="1F308AFB" w:rsidR="00790647" w:rsidRPr="00790647" w:rsidRDefault="00491086" w:rsidP="00790647">
      <w:pPr>
        <w:pStyle w:val="ListParagraph"/>
        <w:numPr>
          <w:ilvl w:val="0"/>
          <w:numId w:val="9"/>
        </w:numPr>
        <w:rPr>
          <w:szCs w:val="24"/>
        </w:rPr>
      </w:pPr>
      <w:hyperlink r:id="rId19" w:history="1">
        <w:r w:rsidR="00241C32" w:rsidRPr="009A77F7">
          <w:rPr>
            <w:rStyle w:val="Hyperlink"/>
            <w:rFonts w:ascii="Times New Roman" w:hAnsi="Times New Roman" w:cs="Times New Roman"/>
            <w:sz w:val="24"/>
            <w:szCs w:val="24"/>
          </w:rPr>
          <w:t>https://www.mass.gov/service-details/information-for-licensed-substance-use-disorder-treatment-programs</w:t>
        </w:r>
      </w:hyperlink>
    </w:p>
    <w:p w14:paraId="4C3C15AF" w14:textId="77777777" w:rsidR="00FC625A" w:rsidRDefault="00491086" w:rsidP="00FC625A">
      <w:pPr>
        <w:numPr>
          <w:ilvl w:val="0"/>
          <w:numId w:val="9"/>
        </w:numPr>
        <w:spacing w:before="100" w:beforeAutospacing="1" w:after="120"/>
      </w:pPr>
      <w:hyperlink r:id="rId20" w:history="1">
        <w:r w:rsidR="00FC625A">
          <w:rPr>
            <w:rStyle w:val="Hyperlink"/>
            <w:color w:val="14558F"/>
          </w:rPr>
          <w:t>BSAS website on Practice Guidance documents on MAT and other relevant topics</w:t>
        </w:r>
      </w:hyperlink>
    </w:p>
    <w:p w14:paraId="3818B7A3" w14:textId="77777777" w:rsidR="00FC625A" w:rsidRDefault="00491086" w:rsidP="00FC625A">
      <w:pPr>
        <w:numPr>
          <w:ilvl w:val="0"/>
          <w:numId w:val="9"/>
        </w:numPr>
        <w:spacing w:before="100" w:beforeAutospacing="1"/>
      </w:pPr>
      <w:hyperlink r:id="rId21" w:history="1">
        <w:r w:rsidR="00FC625A" w:rsidRPr="00070A1D">
          <w:rPr>
            <w:rStyle w:val="Hyperlink"/>
            <w:color w:val="14558F"/>
          </w:rPr>
          <w:t xml:space="preserve">Relevant training programs sponsored by </w:t>
        </w:r>
        <w:r w:rsidR="00FC625A" w:rsidRPr="00E62498">
          <w:rPr>
            <w:rStyle w:val="Hyperlink"/>
            <w:color w:val="14558F"/>
          </w:rPr>
          <w:t>BSAS</w:t>
        </w:r>
      </w:hyperlink>
    </w:p>
    <w:p w14:paraId="51563F66" w14:textId="77777777" w:rsidR="00D35450" w:rsidRDefault="00491086" w:rsidP="00D35450">
      <w:pPr>
        <w:numPr>
          <w:ilvl w:val="0"/>
          <w:numId w:val="9"/>
        </w:numPr>
        <w:spacing w:before="100" w:beforeAutospacing="1" w:after="120"/>
      </w:pPr>
      <w:hyperlink r:id="rId22" w:history="1">
        <w:r w:rsidR="00D35450">
          <w:rPr>
            <w:rStyle w:val="Hyperlink"/>
            <w:color w:val="14558F"/>
          </w:rPr>
          <w:t>SAMHSA’s website on MAT</w:t>
        </w:r>
      </w:hyperlink>
    </w:p>
    <w:p w14:paraId="74CB0A63" w14:textId="77777777" w:rsidR="00D35450" w:rsidRDefault="00491086" w:rsidP="00D35450">
      <w:pPr>
        <w:numPr>
          <w:ilvl w:val="0"/>
          <w:numId w:val="9"/>
        </w:numPr>
        <w:spacing w:before="100" w:beforeAutospacing="1" w:after="120"/>
      </w:pPr>
      <w:hyperlink r:id="rId23" w:history="1">
        <w:r w:rsidR="00D35450">
          <w:rPr>
            <w:rStyle w:val="Hyperlink"/>
            <w:color w:val="14558F"/>
          </w:rPr>
          <w:t>Providers' Clinical Support System for Opioid Therapies</w:t>
        </w:r>
      </w:hyperlink>
    </w:p>
    <w:p w14:paraId="2C5A6C1B" w14:textId="77777777" w:rsidR="00D35450" w:rsidRDefault="00491086" w:rsidP="00D35450">
      <w:pPr>
        <w:numPr>
          <w:ilvl w:val="0"/>
          <w:numId w:val="9"/>
        </w:numPr>
        <w:spacing w:before="100" w:beforeAutospacing="1" w:after="120"/>
      </w:pPr>
      <w:hyperlink r:id="rId24" w:history="1">
        <w:r w:rsidR="00D35450">
          <w:rPr>
            <w:rStyle w:val="Hyperlink"/>
            <w:color w:val="14558F"/>
          </w:rPr>
          <w:t>SAMHSA' s website on resources for integrating primary care and behavioral health services</w:t>
        </w:r>
      </w:hyperlink>
    </w:p>
    <w:p w14:paraId="23F21044" w14:textId="5FCEAAE5" w:rsidR="00D35450" w:rsidRDefault="00D35450" w:rsidP="00D35450">
      <w:pPr>
        <w:pStyle w:val="Heading2"/>
        <w:spacing w:before="0" w:beforeAutospacing="0"/>
        <w:rPr>
          <w:color w:val="141414"/>
        </w:rPr>
      </w:pPr>
    </w:p>
    <w:p w14:paraId="167F0323" w14:textId="21A8176E" w:rsidR="001703AC" w:rsidRDefault="001703AC" w:rsidP="00D35450">
      <w:pPr>
        <w:pStyle w:val="Heading2"/>
        <w:spacing w:before="0" w:beforeAutospacing="0"/>
        <w:rPr>
          <w:color w:val="141414"/>
        </w:rPr>
      </w:pPr>
    </w:p>
    <w:p w14:paraId="61F6654A" w14:textId="77777777" w:rsidR="005B021F" w:rsidRDefault="005B021F" w:rsidP="00D35450">
      <w:pPr>
        <w:pStyle w:val="Heading2"/>
        <w:spacing w:before="0" w:beforeAutospacing="0"/>
        <w:rPr>
          <w:color w:val="141414"/>
        </w:rPr>
      </w:pPr>
    </w:p>
    <w:p w14:paraId="489795E7" w14:textId="7A5E8892" w:rsidR="001703AC" w:rsidRDefault="001703AC" w:rsidP="00D35450">
      <w:pPr>
        <w:pStyle w:val="Heading2"/>
        <w:spacing w:before="0" w:beforeAutospacing="0"/>
        <w:rPr>
          <w:color w:val="141414"/>
        </w:rPr>
      </w:pPr>
    </w:p>
    <w:p w14:paraId="17AA3816" w14:textId="78365EF5" w:rsidR="001703AC" w:rsidRDefault="001703AC" w:rsidP="00D35450">
      <w:pPr>
        <w:pStyle w:val="Heading2"/>
        <w:spacing w:before="0" w:beforeAutospacing="0"/>
        <w:rPr>
          <w:color w:val="141414"/>
        </w:rPr>
      </w:pPr>
    </w:p>
    <w:p w14:paraId="58E5DB55" w14:textId="77777777" w:rsidR="001703AC" w:rsidRDefault="001703AC" w:rsidP="00D35450">
      <w:pPr>
        <w:pStyle w:val="Heading2"/>
        <w:spacing w:before="0" w:beforeAutospacing="0"/>
        <w:rPr>
          <w:color w:val="141414"/>
        </w:rPr>
      </w:pPr>
    </w:p>
    <w:p w14:paraId="346321CE" w14:textId="77777777" w:rsidR="00790647" w:rsidRDefault="00790647" w:rsidP="00D35450">
      <w:pPr>
        <w:pStyle w:val="Heading2"/>
        <w:spacing w:before="0" w:beforeAutospacing="0"/>
        <w:rPr>
          <w:color w:val="141414"/>
          <w:sz w:val="24"/>
          <w:szCs w:val="24"/>
        </w:rPr>
      </w:pPr>
    </w:p>
    <w:p w14:paraId="1866CCFC" w14:textId="357DC108" w:rsidR="00D35450" w:rsidRPr="00FC625A" w:rsidRDefault="00D35450" w:rsidP="00D35450">
      <w:pPr>
        <w:pStyle w:val="Heading2"/>
        <w:spacing w:before="0" w:beforeAutospacing="0"/>
        <w:rPr>
          <w:color w:val="141414"/>
          <w:sz w:val="24"/>
          <w:szCs w:val="24"/>
        </w:rPr>
      </w:pPr>
      <w:r w:rsidRPr="00FC625A">
        <w:rPr>
          <w:color w:val="141414"/>
          <w:sz w:val="24"/>
          <w:szCs w:val="24"/>
        </w:rPr>
        <w:lastRenderedPageBreak/>
        <w:t>Appendix A</w:t>
      </w:r>
    </w:p>
    <w:p w14:paraId="3AD28F94" w14:textId="77777777" w:rsidR="00D35450" w:rsidRPr="00FC625A" w:rsidRDefault="00D35450" w:rsidP="00D35450">
      <w:pPr>
        <w:pStyle w:val="Heading3"/>
        <w:spacing w:before="0" w:beforeAutospacing="0" w:after="240" w:afterAutospacing="0"/>
        <w:rPr>
          <w:color w:val="141414"/>
          <w:sz w:val="24"/>
          <w:szCs w:val="24"/>
        </w:rPr>
      </w:pPr>
      <w:r w:rsidRPr="00FC625A">
        <w:rPr>
          <w:color w:val="141414"/>
          <w:sz w:val="24"/>
          <w:szCs w:val="24"/>
        </w:rPr>
        <w:t>Policy on the Use of Standing Orders for the Use of Naloxone</w:t>
      </w:r>
    </w:p>
    <w:p w14:paraId="3ADAE4CD" w14:textId="76849CC0" w:rsidR="00D35450" w:rsidRDefault="00D35450" w:rsidP="00D35450">
      <w:pPr>
        <w:pStyle w:val="NormalWeb"/>
        <w:spacing w:before="0" w:beforeAutospacing="0"/>
      </w:pPr>
      <w:r>
        <w:t xml:space="preserve">The </w:t>
      </w:r>
      <w:r w:rsidR="00920E72">
        <w:t>Bureau</w:t>
      </w:r>
      <w:r>
        <w:t xml:space="preserve"> recommends that </w:t>
      </w:r>
      <w:r w:rsidR="00920E72">
        <w:t>nursing homes</w:t>
      </w:r>
      <w:r>
        <w:t xml:space="preserve"> develop standing orders for the use of naloxone, subject to the following conditions:</w:t>
      </w:r>
    </w:p>
    <w:p w14:paraId="7A88639C" w14:textId="587E6E94" w:rsidR="00D35450" w:rsidRDefault="00D35450" w:rsidP="00D35450">
      <w:pPr>
        <w:numPr>
          <w:ilvl w:val="0"/>
          <w:numId w:val="10"/>
        </w:numPr>
        <w:spacing w:before="100" w:beforeAutospacing="1" w:after="120"/>
      </w:pPr>
      <w:r>
        <w:t>The order shall be part of the institution’s policies and procedures. The policy statement shall reference current standards and/or guidelines for the use of naloxone. The accountability for development</w:t>
      </w:r>
      <w:r w:rsidR="00BC2FEB">
        <w:t xml:space="preserve">, </w:t>
      </w:r>
      <w:proofErr w:type="gramStart"/>
      <w:r w:rsidR="00BC2FEB">
        <w:t>training</w:t>
      </w:r>
      <w:proofErr w:type="gramEnd"/>
      <w:r>
        <w:t xml:space="preserve"> and implementation of the policy within the </w:t>
      </w:r>
      <w:r w:rsidR="00BC2FEB">
        <w:t>LTCF</w:t>
      </w:r>
      <w:r>
        <w:t xml:space="preserve"> shall be clearly stated.</w:t>
      </w:r>
      <w:r w:rsidR="00BC2FEB">
        <w:t xml:space="preserve"> </w:t>
      </w:r>
    </w:p>
    <w:p w14:paraId="5D626163" w14:textId="05651549" w:rsidR="00D35450" w:rsidRDefault="00D35450" w:rsidP="00D35450">
      <w:pPr>
        <w:numPr>
          <w:ilvl w:val="0"/>
          <w:numId w:val="10"/>
        </w:numPr>
        <w:spacing w:before="100" w:beforeAutospacing="1" w:after="120"/>
      </w:pPr>
      <w:r>
        <w:t xml:space="preserve">The order for administration of medication or treatment shall be signed by the facility Medical Director. Alternatively, </w:t>
      </w:r>
      <w:r w:rsidR="000510C0">
        <w:t>licensed independent providers</w:t>
      </w:r>
      <w:r>
        <w:t xml:space="preserve"> often include a “standing order” to administer a medication, </w:t>
      </w:r>
      <w:proofErr w:type="gramStart"/>
      <w:r>
        <w:t>immunization</w:t>
      </w:r>
      <w:proofErr w:type="gramEnd"/>
      <w:r>
        <w:t xml:space="preserve"> or treatment as part of admission orders, or annual renewal of orders. This order, when written well in advance of the time the medication or treatment is administered, indicates the resident is medically cleared, and authorizes the administration.</w:t>
      </w:r>
    </w:p>
    <w:p w14:paraId="223F0DC6" w14:textId="77777777" w:rsidR="00D35450" w:rsidRDefault="00D35450" w:rsidP="00D35450">
      <w:pPr>
        <w:numPr>
          <w:ilvl w:val="0"/>
          <w:numId w:val="10"/>
        </w:numPr>
        <w:spacing w:before="100" w:beforeAutospacing="1" w:after="120"/>
      </w:pPr>
      <w:r>
        <w:t xml:space="preserve">Policies shall include parameters for use, i.e., eligible individuals for whom the order is appropriate, and any restrictions or exclusions. </w:t>
      </w:r>
    </w:p>
    <w:p w14:paraId="6800339A" w14:textId="77777777" w:rsidR="00D35450" w:rsidRDefault="00D35450" w:rsidP="00D35450">
      <w:pPr>
        <w:numPr>
          <w:ilvl w:val="0"/>
          <w:numId w:val="10"/>
        </w:numPr>
        <w:spacing w:before="100" w:beforeAutospacing="1" w:after="120"/>
      </w:pPr>
      <w:r>
        <w:t>Policies and procedures shall include requirements for documentation in the medical record, including transcription of the order, established patient assessment and consent, and documentation of administration.</w:t>
      </w:r>
    </w:p>
    <w:p w14:paraId="6AC89081" w14:textId="77777777" w:rsidR="00D35450" w:rsidRDefault="00D35450" w:rsidP="68EE6291">
      <w:pPr>
        <w:numPr>
          <w:ilvl w:val="0"/>
          <w:numId w:val="10"/>
        </w:numPr>
        <w:spacing w:before="100" w:beforeAutospacing="1"/>
      </w:pPr>
      <w:r>
        <w:t xml:space="preserve">Professional staff administering the medication or treatment shall conduct an immediate assessment of the patient for medical </w:t>
      </w:r>
      <w:proofErr w:type="gramStart"/>
      <w:r>
        <w:t>contraindications, and</w:t>
      </w:r>
      <w:proofErr w:type="gramEnd"/>
      <w:r>
        <w:t xml:space="preserve"> document the results of the assessment in the medical record, in accordance with established policies.</w:t>
      </w:r>
    </w:p>
    <w:p w14:paraId="76E27515" w14:textId="2C2510E5" w:rsidR="68EE6291" w:rsidRDefault="68EE6291" w:rsidP="00CE34F3">
      <w:pPr>
        <w:spacing w:beforeAutospacing="1"/>
        <w:rPr>
          <w:szCs w:val="24"/>
        </w:rPr>
      </w:pPr>
    </w:p>
    <w:p w14:paraId="5F0FCC53" w14:textId="77777777" w:rsidR="00BD6FF4" w:rsidRDefault="00BD6FF4" w:rsidP="00D35450">
      <w:pPr>
        <w:autoSpaceDE w:val="0"/>
        <w:autoSpaceDN w:val="0"/>
        <w:adjustRightInd w:val="0"/>
      </w:pPr>
    </w:p>
    <w:sectPr w:rsidR="00BD6FF4" w:rsidSect="00CC536F">
      <w:footerReference w:type="default" r:id="rId25"/>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EBF8" w14:textId="77777777" w:rsidR="00615603" w:rsidRDefault="00615603" w:rsidP="003D1946">
      <w:r>
        <w:separator/>
      </w:r>
    </w:p>
  </w:endnote>
  <w:endnote w:type="continuationSeparator" w:id="0">
    <w:p w14:paraId="0B69D1E1" w14:textId="77777777" w:rsidR="00615603" w:rsidRDefault="00615603" w:rsidP="003D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charset w:val="00"/>
    <w:family w:val="modern"/>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C911" w14:textId="77777777" w:rsidR="008F296C" w:rsidRDefault="008F296C">
    <w:pPr>
      <w:pStyle w:val="Footer"/>
      <w:jc w:val="right"/>
    </w:pPr>
    <w:r>
      <w:fldChar w:fldCharType="begin"/>
    </w:r>
    <w:r>
      <w:instrText xml:space="preserve"> PAGE   \* MERGEFORMAT </w:instrText>
    </w:r>
    <w:r>
      <w:fldChar w:fldCharType="separate"/>
    </w:r>
    <w:r>
      <w:rPr>
        <w:noProof/>
      </w:rPr>
      <w:t>2</w:t>
    </w:r>
    <w:r>
      <w:rPr>
        <w:noProof/>
      </w:rPr>
      <w:fldChar w:fldCharType="end"/>
    </w:r>
  </w:p>
  <w:p w14:paraId="76026F48" w14:textId="77777777" w:rsidR="008F296C" w:rsidRDefault="008F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7DF0A" w14:textId="77777777" w:rsidR="00615603" w:rsidRDefault="00615603" w:rsidP="003D1946">
      <w:r>
        <w:separator/>
      </w:r>
    </w:p>
  </w:footnote>
  <w:footnote w:type="continuationSeparator" w:id="0">
    <w:p w14:paraId="3285906D" w14:textId="77777777" w:rsidR="00615603" w:rsidRDefault="00615603" w:rsidP="003D1946">
      <w:r>
        <w:continuationSeparator/>
      </w:r>
    </w:p>
  </w:footnote>
  <w:footnote w:id="1">
    <w:p w14:paraId="52856AB6" w14:textId="5F354C51" w:rsidR="00D458DE" w:rsidRDefault="00D458DE">
      <w:pPr>
        <w:pStyle w:val="FootnoteText"/>
      </w:pPr>
      <w:r>
        <w:rPr>
          <w:rStyle w:val="FootnoteReference"/>
        </w:rPr>
        <w:footnoteRef/>
      </w:r>
      <w:r>
        <w:t xml:space="preserve"> This memorandum does not address the prescription of methadone for pain management, which should be handled in the same manner as any other medication prescribed for pain management.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B7BCE"/>
    <w:multiLevelType w:val="multilevel"/>
    <w:tmpl w:val="C25268D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67D67C0"/>
    <w:multiLevelType w:val="hybridMultilevel"/>
    <w:tmpl w:val="E2DE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2054B"/>
    <w:multiLevelType w:val="hybridMultilevel"/>
    <w:tmpl w:val="7F960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821315"/>
    <w:multiLevelType w:val="hybridMultilevel"/>
    <w:tmpl w:val="7A266D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A044BB"/>
    <w:multiLevelType w:val="hybridMultilevel"/>
    <w:tmpl w:val="D32E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E6A2C"/>
    <w:multiLevelType w:val="hybridMultilevel"/>
    <w:tmpl w:val="8BFCC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BF4D30"/>
    <w:multiLevelType w:val="hybridMultilevel"/>
    <w:tmpl w:val="618E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24BF3"/>
    <w:multiLevelType w:val="hybridMultilevel"/>
    <w:tmpl w:val="C7A0F6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60D6E"/>
    <w:multiLevelType w:val="multilevel"/>
    <w:tmpl w:val="EF2A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F273B2"/>
    <w:multiLevelType w:val="hybridMultilevel"/>
    <w:tmpl w:val="823A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810FCC"/>
    <w:multiLevelType w:val="multilevel"/>
    <w:tmpl w:val="57B4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7035769">
    <w:abstractNumId w:val="10"/>
  </w:num>
  <w:num w:numId="2" w16cid:durableId="537469045">
    <w:abstractNumId w:val="9"/>
  </w:num>
  <w:num w:numId="3" w16cid:durableId="1970629819">
    <w:abstractNumId w:val="3"/>
  </w:num>
  <w:num w:numId="4" w16cid:durableId="1539002337">
    <w:abstractNumId w:val="5"/>
  </w:num>
  <w:num w:numId="5" w16cid:durableId="1904440109">
    <w:abstractNumId w:val="1"/>
  </w:num>
  <w:num w:numId="6" w16cid:durableId="1033312003">
    <w:abstractNumId w:val="4"/>
  </w:num>
  <w:num w:numId="7" w16cid:durableId="1323390251">
    <w:abstractNumId w:val="7"/>
  </w:num>
  <w:num w:numId="8" w16cid:durableId="1984039174">
    <w:abstractNumId w:val="6"/>
  </w:num>
  <w:num w:numId="9" w16cid:durableId="1613173566">
    <w:abstractNumId w:val="11"/>
  </w:num>
  <w:num w:numId="10" w16cid:durableId="147093035">
    <w:abstractNumId w:val="8"/>
  </w:num>
  <w:num w:numId="11" w16cid:durableId="550310064">
    <w:abstractNumId w:val="0"/>
  </w:num>
  <w:num w:numId="12" w16cid:durableId="415785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12A07"/>
    <w:rsid w:val="00012C27"/>
    <w:rsid w:val="00033154"/>
    <w:rsid w:val="00036FD3"/>
    <w:rsid w:val="000405C3"/>
    <w:rsid w:val="00042048"/>
    <w:rsid w:val="000510C0"/>
    <w:rsid w:val="000537DA"/>
    <w:rsid w:val="000545A8"/>
    <w:rsid w:val="00067ACA"/>
    <w:rsid w:val="00070A1D"/>
    <w:rsid w:val="000745F4"/>
    <w:rsid w:val="00095399"/>
    <w:rsid w:val="00095FD7"/>
    <w:rsid w:val="000965BB"/>
    <w:rsid w:val="000A2011"/>
    <w:rsid w:val="000B416C"/>
    <w:rsid w:val="000B5C04"/>
    <w:rsid w:val="000C6AEC"/>
    <w:rsid w:val="000D0AA4"/>
    <w:rsid w:val="000D5080"/>
    <w:rsid w:val="000E4D08"/>
    <w:rsid w:val="000F250A"/>
    <w:rsid w:val="000F315B"/>
    <w:rsid w:val="00111E64"/>
    <w:rsid w:val="001241B5"/>
    <w:rsid w:val="00134659"/>
    <w:rsid w:val="00145E85"/>
    <w:rsid w:val="0015268B"/>
    <w:rsid w:val="001703AC"/>
    <w:rsid w:val="0017047F"/>
    <w:rsid w:val="00177C77"/>
    <w:rsid w:val="00180B3E"/>
    <w:rsid w:val="00182503"/>
    <w:rsid w:val="001840EA"/>
    <w:rsid w:val="001962B3"/>
    <w:rsid w:val="0019700B"/>
    <w:rsid w:val="001A4D25"/>
    <w:rsid w:val="001A73B7"/>
    <w:rsid w:val="001E0DA6"/>
    <w:rsid w:val="001E71E6"/>
    <w:rsid w:val="001F6562"/>
    <w:rsid w:val="002034AA"/>
    <w:rsid w:val="00206E41"/>
    <w:rsid w:val="002110BF"/>
    <w:rsid w:val="00217FC8"/>
    <w:rsid w:val="00226A6C"/>
    <w:rsid w:val="002410ED"/>
    <w:rsid w:val="00241C32"/>
    <w:rsid w:val="00260F4B"/>
    <w:rsid w:val="00270598"/>
    <w:rsid w:val="00276957"/>
    <w:rsid w:val="00276DCC"/>
    <w:rsid w:val="00277255"/>
    <w:rsid w:val="00277338"/>
    <w:rsid w:val="0028427A"/>
    <w:rsid w:val="002851D1"/>
    <w:rsid w:val="002872E9"/>
    <w:rsid w:val="002933A6"/>
    <w:rsid w:val="00294377"/>
    <w:rsid w:val="002A0973"/>
    <w:rsid w:val="002A17DC"/>
    <w:rsid w:val="002A1E18"/>
    <w:rsid w:val="002B0477"/>
    <w:rsid w:val="002B08E1"/>
    <w:rsid w:val="002C0F4A"/>
    <w:rsid w:val="002D2C2B"/>
    <w:rsid w:val="002D5775"/>
    <w:rsid w:val="002D667A"/>
    <w:rsid w:val="002D6CD9"/>
    <w:rsid w:val="002E2C35"/>
    <w:rsid w:val="002F0F52"/>
    <w:rsid w:val="002F4537"/>
    <w:rsid w:val="00320E1A"/>
    <w:rsid w:val="0034399B"/>
    <w:rsid w:val="00355FF1"/>
    <w:rsid w:val="003609B8"/>
    <w:rsid w:val="00360D3D"/>
    <w:rsid w:val="00363A40"/>
    <w:rsid w:val="00363F4D"/>
    <w:rsid w:val="0037735F"/>
    <w:rsid w:val="00385812"/>
    <w:rsid w:val="00392D0B"/>
    <w:rsid w:val="0039398A"/>
    <w:rsid w:val="00397DE7"/>
    <w:rsid w:val="003A7AFC"/>
    <w:rsid w:val="003B1039"/>
    <w:rsid w:val="003C23B1"/>
    <w:rsid w:val="003C4DDF"/>
    <w:rsid w:val="003C60EF"/>
    <w:rsid w:val="003D1946"/>
    <w:rsid w:val="003E4187"/>
    <w:rsid w:val="004028C6"/>
    <w:rsid w:val="00410A7B"/>
    <w:rsid w:val="0041279D"/>
    <w:rsid w:val="00412C71"/>
    <w:rsid w:val="00416D79"/>
    <w:rsid w:val="00416E07"/>
    <w:rsid w:val="00421068"/>
    <w:rsid w:val="0042389E"/>
    <w:rsid w:val="00424BAF"/>
    <w:rsid w:val="00440412"/>
    <w:rsid w:val="0045547A"/>
    <w:rsid w:val="0046553C"/>
    <w:rsid w:val="0047388B"/>
    <w:rsid w:val="0048097B"/>
    <w:rsid w:val="004813AC"/>
    <w:rsid w:val="00486890"/>
    <w:rsid w:val="00487BA6"/>
    <w:rsid w:val="00491086"/>
    <w:rsid w:val="004B1F84"/>
    <w:rsid w:val="004B37A0"/>
    <w:rsid w:val="004B572B"/>
    <w:rsid w:val="004B5F7E"/>
    <w:rsid w:val="004B763E"/>
    <w:rsid w:val="004B78F9"/>
    <w:rsid w:val="004B7B81"/>
    <w:rsid w:val="004C0429"/>
    <w:rsid w:val="004D33FE"/>
    <w:rsid w:val="004D5C84"/>
    <w:rsid w:val="004D659B"/>
    <w:rsid w:val="004D6B39"/>
    <w:rsid w:val="004D6D8C"/>
    <w:rsid w:val="00504CF3"/>
    <w:rsid w:val="0051248B"/>
    <w:rsid w:val="00516B5E"/>
    <w:rsid w:val="0053267C"/>
    <w:rsid w:val="00535E3A"/>
    <w:rsid w:val="00541394"/>
    <w:rsid w:val="005448AA"/>
    <w:rsid w:val="00544E0B"/>
    <w:rsid w:val="00563552"/>
    <w:rsid w:val="00563A54"/>
    <w:rsid w:val="00572E97"/>
    <w:rsid w:val="005770E4"/>
    <w:rsid w:val="00581607"/>
    <w:rsid w:val="00585417"/>
    <w:rsid w:val="00585F6D"/>
    <w:rsid w:val="005A2727"/>
    <w:rsid w:val="005A4920"/>
    <w:rsid w:val="005B021F"/>
    <w:rsid w:val="005B065B"/>
    <w:rsid w:val="005B165C"/>
    <w:rsid w:val="005C1C34"/>
    <w:rsid w:val="005C5A5C"/>
    <w:rsid w:val="005D4689"/>
    <w:rsid w:val="005D70D2"/>
    <w:rsid w:val="005D7AAE"/>
    <w:rsid w:val="005E1912"/>
    <w:rsid w:val="005E5C56"/>
    <w:rsid w:val="005E7CC2"/>
    <w:rsid w:val="005F3099"/>
    <w:rsid w:val="00604DA8"/>
    <w:rsid w:val="00606839"/>
    <w:rsid w:val="006118EB"/>
    <w:rsid w:val="00615603"/>
    <w:rsid w:val="00620315"/>
    <w:rsid w:val="00633618"/>
    <w:rsid w:val="00636E51"/>
    <w:rsid w:val="006424BA"/>
    <w:rsid w:val="00660930"/>
    <w:rsid w:val="00671B13"/>
    <w:rsid w:val="00685F5A"/>
    <w:rsid w:val="006A589C"/>
    <w:rsid w:val="006B685B"/>
    <w:rsid w:val="006D06D9"/>
    <w:rsid w:val="006D4368"/>
    <w:rsid w:val="006D77A6"/>
    <w:rsid w:val="006E128D"/>
    <w:rsid w:val="006F4E43"/>
    <w:rsid w:val="0070015C"/>
    <w:rsid w:val="00702109"/>
    <w:rsid w:val="007049F4"/>
    <w:rsid w:val="00710BB8"/>
    <w:rsid w:val="007151D8"/>
    <w:rsid w:val="0072610D"/>
    <w:rsid w:val="007271C5"/>
    <w:rsid w:val="00730696"/>
    <w:rsid w:val="007411B0"/>
    <w:rsid w:val="00773D2D"/>
    <w:rsid w:val="00781788"/>
    <w:rsid w:val="00787F2B"/>
    <w:rsid w:val="00790647"/>
    <w:rsid w:val="007A1157"/>
    <w:rsid w:val="007A7106"/>
    <w:rsid w:val="007B3F4B"/>
    <w:rsid w:val="007B7347"/>
    <w:rsid w:val="007D10F3"/>
    <w:rsid w:val="007D49FC"/>
    <w:rsid w:val="007D5A16"/>
    <w:rsid w:val="007E32E8"/>
    <w:rsid w:val="007E788F"/>
    <w:rsid w:val="007F0385"/>
    <w:rsid w:val="007F08EC"/>
    <w:rsid w:val="007F13C4"/>
    <w:rsid w:val="007F73DC"/>
    <w:rsid w:val="008004D1"/>
    <w:rsid w:val="008405CB"/>
    <w:rsid w:val="00847CB2"/>
    <w:rsid w:val="00851B3A"/>
    <w:rsid w:val="008522FD"/>
    <w:rsid w:val="0085350A"/>
    <w:rsid w:val="0086116E"/>
    <w:rsid w:val="00861CB5"/>
    <w:rsid w:val="0086247A"/>
    <w:rsid w:val="00863B38"/>
    <w:rsid w:val="00864A72"/>
    <w:rsid w:val="00873C48"/>
    <w:rsid w:val="00875B72"/>
    <w:rsid w:val="008848A3"/>
    <w:rsid w:val="00895668"/>
    <w:rsid w:val="008A6B5C"/>
    <w:rsid w:val="008B0737"/>
    <w:rsid w:val="008B7874"/>
    <w:rsid w:val="008E3477"/>
    <w:rsid w:val="008F1836"/>
    <w:rsid w:val="008F296C"/>
    <w:rsid w:val="008F69E9"/>
    <w:rsid w:val="008F6CE9"/>
    <w:rsid w:val="008F7EDD"/>
    <w:rsid w:val="0090306E"/>
    <w:rsid w:val="0091067F"/>
    <w:rsid w:val="0091313C"/>
    <w:rsid w:val="00914316"/>
    <w:rsid w:val="00915B7F"/>
    <w:rsid w:val="00920E72"/>
    <w:rsid w:val="00921013"/>
    <w:rsid w:val="00926A42"/>
    <w:rsid w:val="0093653E"/>
    <w:rsid w:val="009453A0"/>
    <w:rsid w:val="00945A24"/>
    <w:rsid w:val="00950197"/>
    <w:rsid w:val="00953306"/>
    <w:rsid w:val="009908FF"/>
    <w:rsid w:val="00990A3C"/>
    <w:rsid w:val="00995505"/>
    <w:rsid w:val="00995FE8"/>
    <w:rsid w:val="009A2325"/>
    <w:rsid w:val="009A77F7"/>
    <w:rsid w:val="009B30A9"/>
    <w:rsid w:val="009C0B5A"/>
    <w:rsid w:val="009C1A66"/>
    <w:rsid w:val="009D13AD"/>
    <w:rsid w:val="009E354C"/>
    <w:rsid w:val="009F0CE9"/>
    <w:rsid w:val="009F1347"/>
    <w:rsid w:val="009F6765"/>
    <w:rsid w:val="00A26158"/>
    <w:rsid w:val="00A3143A"/>
    <w:rsid w:val="00A43D47"/>
    <w:rsid w:val="00A454DD"/>
    <w:rsid w:val="00A5052D"/>
    <w:rsid w:val="00A644EB"/>
    <w:rsid w:val="00A65101"/>
    <w:rsid w:val="00A7223F"/>
    <w:rsid w:val="00AB2056"/>
    <w:rsid w:val="00AB4EDC"/>
    <w:rsid w:val="00AC40A5"/>
    <w:rsid w:val="00AD2B39"/>
    <w:rsid w:val="00AD7936"/>
    <w:rsid w:val="00AE1275"/>
    <w:rsid w:val="00AE2560"/>
    <w:rsid w:val="00AE46E5"/>
    <w:rsid w:val="00AE7925"/>
    <w:rsid w:val="00AF4A99"/>
    <w:rsid w:val="00AF7AEC"/>
    <w:rsid w:val="00B03AFF"/>
    <w:rsid w:val="00B3743D"/>
    <w:rsid w:val="00B403BF"/>
    <w:rsid w:val="00B608D9"/>
    <w:rsid w:val="00B632D6"/>
    <w:rsid w:val="00B66332"/>
    <w:rsid w:val="00B71AC0"/>
    <w:rsid w:val="00B86425"/>
    <w:rsid w:val="00B91FDD"/>
    <w:rsid w:val="00B940B5"/>
    <w:rsid w:val="00B95974"/>
    <w:rsid w:val="00B967F3"/>
    <w:rsid w:val="00B978E0"/>
    <w:rsid w:val="00BA1AD3"/>
    <w:rsid w:val="00BA35B3"/>
    <w:rsid w:val="00BA39C1"/>
    <w:rsid w:val="00BA4055"/>
    <w:rsid w:val="00BA7FB6"/>
    <w:rsid w:val="00BB2079"/>
    <w:rsid w:val="00BB4E19"/>
    <w:rsid w:val="00BB7654"/>
    <w:rsid w:val="00BC2E99"/>
    <w:rsid w:val="00BC2FEB"/>
    <w:rsid w:val="00BC6DC4"/>
    <w:rsid w:val="00BD14D6"/>
    <w:rsid w:val="00BD6FF4"/>
    <w:rsid w:val="00BE5283"/>
    <w:rsid w:val="00BF44BA"/>
    <w:rsid w:val="00C01390"/>
    <w:rsid w:val="00C058C8"/>
    <w:rsid w:val="00C20BFE"/>
    <w:rsid w:val="00C24EE2"/>
    <w:rsid w:val="00C26EBC"/>
    <w:rsid w:val="00C43487"/>
    <w:rsid w:val="00C44644"/>
    <w:rsid w:val="00C50684"/>
    <w:rsid w:val="00C832EB"/>
    <w:rsid w:val="00C85ABF"/>
    <w:rsid w:val="00C90243"/>
    <w:rsid w:val="00CA3829"/>
    <w:rsid w:val="00CB17BA"/>
    <w:rsid w:val="00CC1778"/>
    <w:rsid w:val="00CC536F"/>
    <w:rsid w:val="00CE2E0D"/>
    <w:rsid w:val="00CE34D2"/>
    <w:rsid w:val="00CE34F3"/>
    <w:rsid w:val="00CE4BDE"/>
    <w:rsid w:val="00CE575B"/>
    <w:rsid w:val="00CF0DB3"/>
    <w:rsid w:val="00CF2FE1"/>
    <w:rsid w:val="00CF3DE8"/>
    <w:rsid w:val="00CF6541"/>
    <w:rsid w:val="00D0493F"/>
    <w:rsid w:val="00D07E0C"/>
    <w:rsid w:val="00D17FB3"/>
    <w:rsid w:val="00D237D1"/>
    <w:rsid w:val="00D35450"/>
    <w:rsid w:val="00D41CB5"/>
    <w:rsid w:val="00D448C1"/>
    <w:rsid w:val="00D458DE"/>
    <w:rsid w:val="00D51BBF"/>
    <w:rsid w:val="00D55C60"/>
    <w:rsid w:val="00D56F91"/>
    <w:rsid w:val="00D61FE9"/>
    <w:rsid w:val="00D642F2"/>
    <w:rsid w:val="00D67836"/>
    <w:rsid w:val="00D8671C"/>
    <w:rsid w:val="00D87339"/>
    <w:rsid w:val="00DA57C3"/>
    <w:rsid w:val="00DB4FED"/>
    <w:rsid w:val="00DC3855"/>
    <w:rsid w:val="00DC5C34"/>
    <w:rsid w:val="00DE67FB"/>
    <w:rsid w:val="00DE785E"/>
    <w:rsid w:val="00E051FD"/>
    <w:rsid w:val="00E073EA"/>
    <w:rsid w:val="00E1054A"/>
    <w:rsid w:val="00E118B3"/>
    <w:rsid w:val="00E13EE1"/>
    <w:rsid w:val="00E242A8"/>
    <w:rsid w:val="00E274B8"/>
    <w:rsid w:val="00E27E03"/>
    <w:rsid w:val="00E32E9F"/>
    <w:rsid w:val="00E33FC9"/>
    <w:rsid w:val="00E42439"/>
    <w:rsid w:val="00E427CD"/>
    <w:rsid w:val="00E445B6"/>
    <w:rsid w:val="00E53B37"/>
    <w:rsid w:val="00E62498"/>
    <w:rsid w:val="00E64A07"/>
    <w:rsid w:val="00E65226"/>
    <w:rsid w:val="00E72707"/>
    <w:rsid w:val="00E73536"/>
    <w:rsid w:val="00E80AC2"/>
    <w:rsid w:val="00E831FD"/>
    <w:rsid w:val="00E97E1A"/>
    <w:rsid w:val="00EA3563"/>
    <w:rsid w:val="00EB74AE"/>
    <w:rsid w:val="00EB750B"/>
    <w:rsid w:val="00EC6D8E"/>
    <w:rsid w:val="00EC6F26"/>
    <w:rsid w:val="00EE4FE2"/>
    <w:rsid w:val="00EF316D"/>
    <w:rsid w:val="00F0455E"/>
    <w:rsid w:val="00F0586E"/>
    <w:rsid w:val="00F071A9"/>
    <w:rsid w:val="00F25BF4"/>
    <w:rsid w:val="00F2604F"/>
    <w:rsid w:val="00F43932"/>
    <w:rsid w:val="00F440F4"/>
    <w:rsid w:val="00F52419"/>
    <w:rsid w:val="00F82CA9"/>
    <w:rsid w:val="00F83489"/>
    <w:rsid w:val="00F847A4"/>
    <w:rsid w:val="00F85A1E"/>
    <w:rsid w:val="00F94F45"/>
    <w:rsid w:val="00F96578"/>
    <w:rsid w:val="00FA2158"/>
    <w:rsid w:val="00FA31D5"/>
    <w:rsid w:val="00FC625A"/>
    <w:rsid w:val="00FC6B42"/>
    <w:rsid w:val="00FC6E82"/>
    <w:rsid w:val="00FE44C0"/>
    <w:rsid w:val="00FE591E"/>
    <w:rsid w:val="00FE5F42"/>
    <w:rsid w:val="00FF1D40"/>
    <w:rsid w:val="014D80CF"/>
    <w:rsid w:val="02ECAFE6"/>
    <w:rsid w:val="0644425D"/>
    <w:rsid w:val="0726BEBC"/>
    <w:rsid w:val="07313BF8"/>
    <w:rsid w:val="14D6C204"/>
    <w:rsid w:val="1E64A7E7"/>
    <w:rsid w:val="21B456D9"/>
    <w:rsid w:val="312C75BE"/>
    <w:rsid w:val="365D6EB5"/>
    <w:rsid w:val="36E24261"/>
    <w:rsid w:val="373EC6E6"/>
    <w:rsid w:val="37EEC1DA"/>
    <w:rsid w:val="45CD8E1C"/>
    <w:rsid w:val="5B39D77F"/>
    <w:rsid w:val="606CE977"/>
    <w:rsid w:val="666B657A"/>
    <w:rsid w:val="6846D482"/>
    <w:rsid w:val="68EE6291"/>
    <w:rsid w:val="7AF04921"/>
    <w:rsid w:val="7FC3BA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7E4B"/>
  <w15:chartTrackingRefBased/>
  <w15:docId w15:val="{CAB570E6-917A-4CD1-9C77-07A2B45A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2">
    <w:name w:val="heading 2"/>
    <w:basedOn w:val="Normal"/>
    <w:link w:val="Heading2Char"/>
    <w:uiPriority w:val="9"/>
    <w:qFormat/>
    <w:rsid w:val="00D3545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3545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FootnoteText">
    <w:name w:val="footnote text"/>
    <w:basedOn w:val="Normal"/>
    <w:link w:val="FootnoteTextChar"/>
    <w:uiPriority w:val="99"/>
    <w:unhideWhenUsed/>
    <w:rsid w:val="003D1946"/>
    <w:rPr>
      <w:sz w:val="20"/>
    </w:rPr>
  </w:style>
  <w:style w:type="character" w:customStyle="1" w:styleId="FootnoteTextChar">
    <w:name w:val="Footnote Text Char"/>
    <w:basedOn w:val="DefaultParagraphFont"/>
    <w:link w:val="FootnoteText"/>
    <w:uiPriority w:val="99"/>
    <w:rsid w:val="003D1946"/>
  </w:style>
  <w:style w:type="character" w:styleId="FootnoteReference">
    <w:name w:val="footnote reference"/>
    <w:uiPriority w:val="99"/>
    <w:unhideWhenUsed/>
    <w:rsid w:val="003D1946"/>
    <w:rPr>
      <w:vertAlign w:val="superscript"/>
    </w:rPr>
  </w:style>
  <w:style w:type="character" w:styleId="CommentReference">
    <w:name w:val="annotation reference"/>
    <w:uiPriority w:val="99"/>
    <w:rsid w:val="0034399B"/>
    <w:rPr>
      <w:sz w:val="16"/>
      <w:szCs w:val="16"/>
    </w:rPr>
  </w:style>
  <w:style w:type="paragraph" w:styleId="CommentText">
    <w:name w:val="annotation text"/>
    <w:basedOn w:val="Normal"/>
    <w:link w:val="CommentTextChar"/>
    <w:uiPriority w:val="99"/>
    <w:rsid w:val="0034399B"/>
    <w:rPr>
      <w:sz w:val="20"/>
    </w:rPr>
  </w:style>
  <w:style w:type="character" w:customStyle="1" w:styleId="CommentTextChar">
    <w:name w:val="Comment Text Char"/>
    <w:basedOn w:val="DefaultParagraphFont"/>
    <w:link w:val="CommentText"/>
    <w:uiPriority w:val="99"/>
    <w:rsid w:val="0034399B"/>
  </w:style>
  <w:style w:type="paragraph" w:styleId="CommentSubject">
    <w:name w:val="annotation subject"/>
    <w:basedOn w:val="CommentText"/>
    <w:next w:val="CommentText"/>
    <w:link w:val="CommentSubjectChar"/>
    <w:rsid w:val="0034399B"/>
    <w:rPr>
      <w:b/>
      <w:bCs/>
    </w:rPr>
  </w:style>
  <w:style w:type="character" w:customStyle="1" w:styleId="CommentSubjectChar">
    <w:name w:val="Comment Subject Char"/>
    <w:link w:val="CommentSubject"/>
    <w:rsid w:val="0034399B"/>
    <w:rPr>
      <w:b/>
      <w:bCs/>
    </w:rPr>
  </w:style>
  <w:style w:type="paragraph" w:styleId="Revision">
    <w:name w:val="Revision"/>
    <w:hidden/>
    <w:uiPriority w:val="99"/>
    <w:semiHidden/>
    <w:rsid w:val="00B967F3"/>
    <w:rPr>
      <w:sz w:val="24"/>
    </w:rPr>
  </w:style>
  <w:style w:type="character" w:styleId="FollowedHyperlink">
    <w:name w:val="FollowedHyperlink"/>
    <w:rsid w:val="008F1836"/>
    <w:rPr>
      <w:color w:val="954F72"/>
      <w:u w:val="single"/>
    </w:rPr>
  </w:style>
  <w:style w:type="character" w:customStyle="1" w:styleId="Heading2Char">
    <w:name w:val="Heading 2 Char"/>
    <w:link w:val="Heading2"/>
    <w:uiPriority w:val="9"/>
    <w:rsid w:val="00D35450"/>
    <w:rPr>
      <w:b/>
      <w:bCs/>
      <w:sz w:val="36"/>
      <w:szCs w:val="36"/>
    </w:rPr>
  </w:style>
  <w:style w:type="character" w:customStyle="1" w:styleId="Heading3Char">
    <w:name w:val="Heading 3 Char"/>
    <w:link w:val="Heading3"/>
    <w:uiPriority w:val="9"/>
    <w:rsid w:val="00D35450"/>
    <w:rPr>
      <w:b/>
      <w:bCs/>
      <w:sz w:val="27"/>
      <w:szCs w:val="27"/>
    </w:rPr>
  </w:style>
  <w:style w:type="character" w:styleId="UnresolvedMention">
    <w:name w:val="Unresolved Mention"/>
    <w:uiPriority w:val="99"/>
    <w:semiHidden/>
    <w:unhideWhenUsed/>
    <w:rsid w:val="00E33FC9"/>
    <w:rPr>
      <w:color w:val="605E5C"/>
      <w:shd w:val="clear" w:color="auto" w:fill="E1DFDD"/>
    </w:rPr>
  </w:style>
  <w:style w:type="paragraph" w:styleId="ListParagraph">
    <w:name w:val="List Paragraph"/>
    <w:basedOn w:val="Normal"/>
    <w:uiPriority w:val="34"/>
    <w:qFormat/>
    <w:rsid w:val="00914316"/>
    <w:pPr>
      <w:ind w:left="720"/>
    </w:pPr>
    <w:rPr>
      <w:rFonts w:ascii="Calibri" w:eastAsia="Calibri" w:hAnsi="Calibri" w:cs="Calibri"/>
      <w:sz w:val="22"/>
      <w:szCs w:val="22"/>
    </w:rPr>
  </w:style>
  <w:style w:type="paragraph" w:styleId="Header">
    <w:name w:val="header"/>
    <w:basedOn w:val="Normal"/>
    <w:link w:val="HeaderChar"/>
    <w:rsid w:val="008F296C"/>
    <w:pPr>
      <w:tabs>
        <w:tab w:val="center" w:pos="4680"/>
        <w:tab w:val="right" w:pos="9360"/>
      </w:tabs>
    </w:pPr>
  </w:style>
  <w:style w:type="character" w:customStyle="1" w:styleId="HeaderChar">
    <w:name w:val="Header Char"/>
    <w:link w:val="Header"/>
    <w:rsid w:val="008F296C"/>
    <w:rPr>
      <w:sz w:val="24"/>
    </w:rPr>
  </w:style>
  <w:style w:type="paragraph" w:styleId="Footer">
    <w:name w:val="footer"/>
    <w:basedOn w:val="Normal"/>
    <w:link w:val="FooterChar"/>
    <w:uiPriority w:val="99"/>
    <w:rsid w:val="008F296C"/>
    <w:pPr>
      <w:tabs>
        <w:tab w:val="center" w:pos="4680"/>
        <w:tab w:val="right" w:pos="9360"/>
      </w:tabs>
    </w:pPr>
  </w:style>
  <w:style w:type="character" w:customStyle="1" w:styleId="FooterChar">
    <w:name w:val="Footer Char"/>
    <w:link w:val="Footer"/>
    <w:uiPriority w:val="99"/>
    <w:rsid w:val="008F296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715263">
      <w:bodyDiv w:val="1"/>
      <w:marLeft w:val="0"/>
      <w:marRight w:val="0"/>
      <w:marTop w:val="0"/>
      <w:marBottom w:val="0"/>
      <w:divBdr>
        <w:top w:val="none" w:sz="0" w:space="0" w:color="auto"/>
        <w:left w:val="none" w:sz="0" w:space="0" w:color="auto"/>
        <w:bottom w:val="none" w:sz="0" w:space="0" w:color="auto"/>
        <w:right w:val="none" w:sz="0" w:space="0" w:color="auto"/>
      </w:divBdr>
    </w:div>
    <w:div w:id="514269959">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96542445">
      <w:bodyDiv w:val="1"/>
      <w:marLeft w:val="0"/>
      <w:marRight w:val="0"/>
      <w:marTop w:val="0"/>
      <w:marBottom w:val="0"/>
      <w:divBdr>
        <w:top w:val="none" w:sz="0" w:space="0" w:color="auto"/>
        <w:left w:val="none" w:sz="0" w:space="0" w:color="auto"/>
        <w:bottom w:val="none" w:sz="0" w:space="0" w:color="auto"/>
        <w:right w:val="none" w:sz="0" w:space="0" w:color="auto"/>
      </w:divBdr>
      <w:divsChild>
        <w:div w:id="5327010">
          <w:marLeft w:val="0"/>
          <w:marRight w:val="0"/>
          <w:marTop w:val="0"/>
          <w:marBottom w:val="0"/>
          <w:divBdr>
            <w:top w:val="none" w:sz="0" w:space="0" w:color="auto"/>
            <w:left w:val="none" w:sz="0" w:space="0" w:color="auto"/>
            <w:bottom w:val="none" w:sz="0" w:space="0" w:color="auto"/>
            <w:right w:val="none" w:sz="0" w:space="0" w:color="auto"/>
          </w:divBdr>
        </w:div>
        <w:div w:id="272323915">
          <w:marLeft w:val="0"/>
          <w:marRight w:val="0"/>
          <w:marTop w:val="0"/>
          <w:marBottom w:val="0"/>
          <w:divBdr>
            <w:top w:val="none" w:sz="0" w:space="0" w:color="auto"/>
            <w:left w:val="none" w:sz="0" w:space="0" w:color="auto"/>
            <w:bottom w:val="none" w:sz="0" w:space="0" w:color="auto"/>
            <w:right w:val="none" w:sz="0" w:space="0" w:color="auto"/>
          </w:divBdr>
        </w:div>
        <w:div w:id="379017483">
          <w:marLeft w:val="0"/>
          <w:marRight w:val="0"/>
          <w:marTop w:val="0"/>
          <w:marBottom w:val="0"/>
          <w:divBdr>
            <w:top w:val="none" w:sz="0" w:space="0" w:color="auto"/>
            <w:left w:val="none" w:sz="0" w:space="0" w:color="auto"/>
            <w:bottom w:val="none" w:sz="0" w:space="0" w:color="auto"/>
            <w:right w:val="none" w:sz="0" w:space="0" w:color="auto"/>
          </w:divBdr>
        </w:div>
        <w:div w:id="417754900">
          <w:marLeft w:val="0"/>
          <w:marRight w:val="0"/>
          <w:marTop w:val="0"/>
          <w:marBottom w:val="0"/>
          <w:divBdr>
            <w:top w:val="none" w:sz="0" w:space="0" w:color="auto"/>
            <w:left w:val="none" w:sz="0" w:space="0" w:color="auto"/>
            <w:bottom w:val="none" w:sz="0" w:space="0" w:color="auto"/>
            <w:right w:val="none" w:sz="0" w:space="0" w:color="auto"/>
          </w:divBdr>
        </w:div>
        <w:div w:id="670714407">
          <w:marLeft w:val="0"/>
          <w:marRight w:val="0"/>
          <w:marTop w:val="0"/>
          <w:marBottom w:val="0"/>
          <w:divBdr>
            <w:top w:val="dotted" w:sz="12" w:space="23" w:color="DCDCDC"/>
            <w:left w:val="none" w:sz="0" w:space="0" w:color="auto"/>
            <w:bottom w:val="none" w:sz="0" w:space="0" w:color="auto"/>
            <w:right w:val="none" w:sz="0" w:space="0" w:color="auto"/>
          </w:divBdr>
          <w:divsChild>
            <w:div w:id="1161459311">
              <w:marLeft w:val="0"/>
              <w:marRight w:val="0"/>
              <w:marTop w:val="0"/>
              <w:marBottom w:val="0"/>
              <w:divBdr>
                <w:top w:val="none" w:sz="0" w:space="0" w:color="auto"/>
                <w:left w:val="none" w:sz="0" w:space="0" w:color="auto"/>
                <w:bottom w:val="none" w:sz="0" w:space="0" w:color="auto"/>
                <w:right w:val="none" w:sz="0" w:space="0" w:color="auto"/>
              </w:divBdr>
              <w:divsChild>
                <w:div w:id="1428772305">
                  <w:marLeft w:val="0"/>
                  <w:marRight w:val="0"/>
                  <w:marTop w:val="0"/>
                  <w:marBottom w:val="0"/>
                  <w:divBdr>
                    <w:top w:val="none" w:sz="0" w:space="0" w:color="auto"/>
                    <w:left w:val="none" w:sz="0" w:space="0" w:color="auto"/>
                    <w:bottom w:val="none" w:sz="0" w:space="0" w:color="auto"/>
                    <w:right w:val="none" w:sz="0" w:space="0" w:color="auto"/>
                  </w:divBdr>
                  <w:divsChild>
                    <w:div w:id="11527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32418">
          <w:marLeft w:val="0"/>
          <w:marRight w:val="0"/>
          <w:marTop w:val="0"/>
          <w:marBottom w:val="0"/>
          <w:divBdr>
            <w:top w:val="none" w:sz="0" w:space="0" w:color="auto"/>
            <w:left w:val="none" w:sz="0" w:space="0" w:color="auto"/>
            <w:bottom w:val="none" w:sz="0" w:space="0" w:color="auto"/>
            <w:right w:val="none" w:sz="0" w:space="0" w:color="auto"/>
          </w:divBdr>
        </w:div>
        <w:div w:id="1027756524">
          <w:marLeft w:val="0"/>
          <w:marRight w:val="0"/>
          <w:marTop w:val="0"/>
          <w:marBottom w:val="0"/>
          <w:divBdr>
            <w:top w:val="none" w:sz="0" w:space="0" w:color="auto"/>
            <w:left w:val="none" w:sz="0" w:space="0" w:color="auto"/>
            <w:bottom w:val="none" w:sz="0" w:space="0" w:color="auto"/>
            <w:right w:val="none" w:sz="0" w:space="0" w:color="auto"/>
          </w:divBdr>
        </w:div>
        <w:div w:id="1144083362">
          <w:marLeft w:val="0"/>
          <w:marRight w:val="0"/>
          <w:marTop w:val="0"/>
          <w:marBottom w:val="0"/>
          <w:divBdr>
            <w:top w:val="none" w:sz="0" w:space="0" w:color="auto"/>
            <w:left w:val="none" w:sz="0" w:space="0" w:color="auto"/>
            <w:bottom w:val="none" w:sz="0" w:space="0" w:color="auto"/>
            <w:right w:val="none" w:sz="0" w:space="0" w:color="auto"/>
          </w:divBdr>
        </w:div>
        <w:div w:id="1659336699">
          <w:marLeft w:val="0"/>
          <w:marRight w:val="0"/>
          <w:marTop w:val="0"/>
          <w:marBottom w:val="0"/>
          <w:divBdr>
            <w:top w:val="none" w:sz="0" w:space="0" w:color="auto"/>
            <w:left w:val="none" w:sz="0" w:space="0" w:color="auto"/>
            <w:bottom w:val="none" w:sz="0" w:space="0" w:color="auto"/>
            <w:right w:val="none" w:sz="0" w:space="0" w:color="auto"/>
          </w:divBdr>
        </w:div>
        <w:div w:id="1885756087">
          <w:marLeft w:val="0"/>
          <w:marRight w:val="0"/>
          <w:marTop w:val="0"/>
          <w:marBottom w:val="0"/>
          <w:divBdr>
            <w:top w:val="none" w:sz="0" w:space="0" w:color="auto"/>
            <w:left w:val="none" w:sz="0" w:space="0" w:color="auto"/>
            <w:bottom w:val="none" w:sz="0" w:space="0" w:color="auto"/>
            <w:right w:val="none" w:sz="0" w:space="0" w:color="auto"/>
          </w:divBdr>
        </w:div>
      </w:divsChild>
    </w:div>
    <w:div w:id="1406685628">
      <w:bodyDiv w:val="1"/>
      <w:marLeft w:val="0"/>
      <w:marRight w:val="0"/>
      <w:marTop w:val="0"/>
      <w:marBottom w:val="0"/>
      <w:divBdr>
        <w:top w:val="none" w:sz="0" w:space="0" w:color="auto"/>
        <w:left w:val="none" w:sz="0" w:space="0" w:color="auto"/>
        <w:bottom w:val="none" w:sz="0" w:space="0" w:color="auto"/>
        <w:right w:val="none" w:sz="0" w:space="0" w:color="auto"/>
      </w:divBdr>
    </w:div>
    <w:div w:id="1467812808">
      <w:bodyDiv w:val="1"/>
      <w:marLeft w:val="0"/>
      <w:marRight w:val="0"/>
      <w:marTop w:val="0"/>
      <w:marBottom w:val="0"/>
      <w:divBdr>
        <w:top w:val="none" w:sz="0" w:space="0" w:color="auto"/>
        <w:left w:val="none" w:sz="0" w:space="0" w:color="auto"/>
        <w:bottom w:val="none" w:sz="0" w:space="0" w:color="auto"/>
        <w:right w:val="none" w:sz="0" w:space="0" w:color="auto"/>
      </w:divBdr>
    </w:div>
    <w:div w:id="1581409626">
      <w:bodyDiv w:val="1"/>
      <w:marLeft w:val="0"/>
      <w:marRight w:val="0"/>
      <w:marTop w:val="0"/>
      <w:marBottom w:val="0"/>
      <w:divBdr>
        <w:top w:val="none" w:sz="0" w:space="0" w:color="auto"/>
        <w:left w:val="none" w:sz="0" w:space="0" w:color="auto"/>
        <w:bottom w:val="none" w:sz="0" w:space="0" w:color="auto"/>
        <w:right w:val="none" w:sz="0" w:space="0" w:color="auto"/>
      </w:divBdr>
      <w:divsChild>
        <w:div w:id="602540902">
          <w:marLeft w:val="0"/>
          <w:marRight w:val="0"/>
          <w:marTop w:val="0"/>
          <w:marBottom w:val="0"/>
          <w:divBdr>
            <w:top w:val="none" w:sz="0" w:space="0" w:color="auto"/>
            <w:left w:val="none" w:sz="0" w:space="0" w:color="auto"/>
            <w:bottom w:val="none" w:sz="0" w:space="0" w:color="auto"/>
            <w:right w:val="none" w:sz="0" w:space="0" w:color="auto"/>
          </w:divBdr>
        </w:div>
        <w:div w:id="1410736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cstap.com/" TargetMode="External"/><Relationship Id="rId18" Type="http://schemas.openxmlformats.org/officeDocument/2006/relationships/hyperlink" Target="https://helplinema.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mcobat.org/training/register/index.php?category=120&amp;date=" TargetMode="External"/><Relationship Id="rId7" Type="http://schemas.openxmlformats.org/officeDocument/2006/relationships/settings" Target="settings.xml"/><Relationship Id="rId12" Type="http://schemas.openxmlformats.org/officeDocument/2006/relationships/hyperlink" Target="https://www.deadiversion.usdoj.gov/pubs/docs/SAMHSA_Regulations_275.pdf" TargetMode="External"/><Relationship Id="rId17" Type="http://schemas.openxmlformats.org/officeDocument/2006/relationships/hyperlink" Target="https://www.mcstap.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ss.gov/info-details/the-care-of-residents-with-opioid-stimulant-use-disorders-in-long-term-care-settings-toolkit" TargetMode="External"/><Relationship Id="rId20" Type="http://schemas.openxmlformats.org/officeDocument/2006/relationships/hyperlink" Target="https://www.mass.gov/orgs/bureau-of-substance-addiction-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mhsa.gov/integrated-health-solutions" TargetMode="External"/><Relationship Id="rId5" Type="http://schemas.openxmlformats.org/officeDocument/2006/relationships/numbering" Target="numbering.xml"/><Relationship Id="rId15" Type="http://schemas.openxmlformats.org/officeDocument/2006/relationships/hyperlink" Target="mailto:DPH.BHCSQ@Mass.gov" TargetMode="External"/><Relationship Id="rId23" Type="http://schemas.openxmlformats.org/officeDocument/2006/relationships/hyperlink" Target="http://www.pcss-o.org/"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mass.gov/service-details/information-for-licensed-substance-use-disorder-treatment-progr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hsa.gov/medication-assisted-treatment/become-buprenorphine-waivered-practitioner" TargetMode="External"/><Relationship Id="rId22" Type="http://schemas.openxmlformats.org/officeDocument/2006/relationships/hyperlink" Target="http://www.samhsa.gov/medication-assisted-treatment"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documenttasks/documenttasks1.xml><?xml version="1.0" encoding="utf-8"?>
<t:Tasks xmlns:t="http://schemas.microsoft.com/office/tasks/2019/documenttasks" xmlns:oel="http://schemas.microsoft.com/office/2019/extlst">
  <t:Task id="{43703ED1-C5D7-4011-9870-B085EAFB40B2}">
    <t:Anchor>
      <t:Comment id="634434608"/>
    </t:Anchor>
    <t:History>
      <t:Event id="{2B7ECCD1-71A2-4F44-A80C-1FC132F8C189}" time="2022-03-15T17:17:10.025Z">
        <t:Attribution userId="S::michael.gurney@mass.gov::8aeb6a21-9556-4a96-b61d-42bf7000014e" userProvider="AD" userName="Gurney, Michael (DPH)"/>
        <t:Anchor>
          <t:Comment id="282817575"/>
        </t:Anchor>
        <t:Create/>
      </t:Event>
      <t:Event id="{7E151029-5585-49B7-AF6E-F8C7728F8AB1}" time="2022-03-15T17:17:10.025Z">
        <t:Attribution userId="S::michael.gurney@mass.gov::8aeb6a21-9556-4a96-b61d-42bf7000014e" userProvider="AD" userName="Gurney, Michael (DPH)"/>
        <t:Anchor>
          <t:Comment id="282817575"/>
        </t:Anchor>
        <t:Assign userId="S::jennifer.babich@mass.gov::45ee9ff5-fd99-4198-9578-55ca8430cfec" userProvider="AD" userName="Babich, Jennifer (DPH)"/>
      </t:Event>
      <t:Event id="{8888150B-C286-4C4C-8A48-32572FE207E4}" time="2022-03-15T17:17:10.025Z">
        <t:Attribution userId="S::michael.gurney@mass.gov::8aeb6a21-9556-4a96-b61d-42bf7000014e" userProvider="AD" userName="Gurney, Michael (DPH)"/>
        <t:Anchor>
          <t:Comment id="282817575"/>
        </t:Anchor>
        <t:SetTitle title="@Babich, Jennifer (DPH)"/>
      </t:Event>
      <t:Event id="{2F456976-CBF8-48B4-A8B6-2249A5F144AA}" time="2022-03-15T17:56:40.298Z">
        <t:Attribution userId="S::michael.gurney@mass.gov::8aeb6a21-9556-4a96-b61d-42bf7000014e" userProvider="AD" userName="Gurney, Michael (DPH)"/>
        <t:Progress percentComplete="100"/>
      </t:Event>
      <t:Event id="{2B02BDB0-262A-47D9-94DE-A2BA7E141955}" time="2022-03-22T16:38:43.192Z">
        <t:Attribution userId="S::sullivan.roberts@mass.gov::4a04f66b-4ab5-41b3-8b2f-4562e0a07467" userProvider="AD" userName="Roberts, Sullivan (DP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A6F1AF92D364F94599F7D9F6F2AEE" ma:contentTypeVersion="16" ma:contentTypeDescription="Create a new document." ma:contentTypeScope="" ma:versionID="93ac78acb8563cd52c2b9173cca06343">
  <xsd:schema xmlns:xsd="http://www.w3.org/2001/XMLSchema" xmlns:xs="http://www.w3.org/2001/XMLSchema" xmlns:p="http://schemas.microsoft.com/office/2006/metadata/properties" xmlns:ns2="d6dac6ae-e22b-4a29-9d05-aeacb1f369db" xmlns:ns3="291e590e-eb4f-4c7d-9458-74c699249641" targetNamespace="http://schemas.microsoft.com/office/2006/metadata/properties" ma:root="true" ma:fieldsID="c24ab332370c24866468ea79a5875cf9" ns2:_="" ns3:_="">
    <xsd:import namespace="d6dac6ae-e22b-4a29-9d05-aeacb1f369db"/>
    <xsd:import namespace="291e590e-eb4f-4c7d-9458-74c6992496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ac6ae-e22b-4a29-9d05-aeacb1f36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9b1c70-a969-4c55-8bfb-e98d2ac339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1e590e-eb4f-4c7d-9458-74c699249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84d744-7b08-43cc-a023-e863870cb1e9}" ma:internalName="TaxCatchAll" ma:showField="CatchAllData" ma:web="291e590e-eb4f-4c7d-9458-74c699249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91e590e-eb4f-4c7d-9458-74c699249641" xsi:nil="true"/>
    <lcf76f155ced4ddcb4097134ff3c332f xmlns="d6dac6ae-e22b-4a29-9d05-aeacb1f369d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08AF8-73BC-4800-8CD7-AB26D4474EA1}"/>
</file>

<file path=customXml/itemProps2.xml><?xml version="1.0" encoding="utf-8"?>
<ds:datastoreItem xmlns:ds="http://schemas.openxmlformats.org/officeDocument/2006/customXml" ds:itemID="{FC5C0F67-679E-4267-8072-93240AA8B7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3CCA8C-45CC-43B8-81BC-53536D6257EF}">
  <ds:schemaRefs>
    <ds:schemaRef ds:uri="http://schemas.openxmlformats.org/officeDocument/2006/bibliography"/>
  </ds:schemaRefs>
</ds:datastoreItem>
</file>

<file path=customXml/itemProps4.xml><?xml version="1.0" encoding="utf-8"?>
<ds:datastoreItem xmlns:ds="http://schemas.openxmlformats.org/officeDocument/2006/customXml" ds:itemID="{64DCD3F2-7A99-42C0-8CA1-92EFEE596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TotalTime>
  <Pages>5</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DPH</dc:creator>
  <cp:keywords/>
  <cp:lastModifiedBy>Helen Magliozzi</cp:lastModifiedBy>
  <cp:revision>2</cp:revision>
  <cp:lastPrinted>2020-08-12T21:19:00Z</cp:lastPrinted>
  <dcterms:created xsi:type="dcterms:W3CDTF">2022-09-13T16:14:00Z</dcterms:created>
  <dcterms:modified xsi:type="dcterms:W3CDTF">2022-09-13T16:14:00Z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0x0101002E3A6F1AF92D364F94599F7D9F6F2AEE</vt:lpwstr>
  </property>
</Properties>
</file>